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s="宋体"/>
          <w:sz w:val="52"/>
          <w:szCs w:val="52"/>
        </w:rPr>
      </w:pPr>
      <w:r>
        <w:rPr>
          <w:rFonts w:hint="eastAsia" w:ascii="宋体" w:cs="宋体"/>
          <w:sz w:val="24"/>
          <w:szCs w:val="24"/>
        </w:rPr>
        <w:t xml:space="preserve"> </w:t>
      </w:r>
    </w:p>
    <w:p>
      <w:pPr>
        <w:jc w:val="center"/>
        <w:rPr>
          <w:color w:val="000000"/>
          <w:sz w:val="44"/>
          <w:szCs w:val="44"/>
        </w:rPr>
      </w:pPr>
      <w:bookmarkStart w:id="0" w:name="_Toc451610984"/>
      <w:bookmarkStart w:id="1" w:name="_Toc451610891"/>
    </w:p>
    <w:p>
      <w:pPr>
        <w:jc w:val="center"/>
        <w:rPr>
          <w:color w:val="000000"/>
          <w:sz w:val="44"/>
          <w:szCs w:val="44"/>
        </w:rPr>
      </w:pPr>
      <w:r>
        <w:rPr>
          <w:rFonts w:hint="eastAsia"/>
          <w:color w:val="000000"/>
          <w:sz w:val="44"/>
          <w:szCs w:val="44"/>
        </w:rPr>
        <w:t xml:space="preserve"> </w:t>
      </w:r>
      <w:r>
        <w:rPr>
          <w:rFonts w:hint="eastAsia"/>
          <w:color w:val="000000"/>
          <w:sz w:val="44"/>
          <w:szCs w:val="44"/>
          <w:lang w:eastAsia="zh-CN"/>
        </w:rPr>
        <w:t xml:space="preserve">安科化妆品（浙江）有限公司 </w:t>
      </w:r>
      <w:r>
        <w:rPr>
          <w:rFonts w:hint="eastAsia"/>
          <w:color w:val="000000"/>
          <w:sz w:val="44"/>
          <w:szCs w:val="44"/>
        </w:rPr>
        <w:t xml:space="preserve"> </w:t>
      </w:r>
    </w:p>
    <w:p>
      <w:pPr>
        <w:jc w:val="center"/>
        <w:rPr>
          <w:color w:val="000000"/>
          <w:sz w:val="44"/>
          <w:szCs w:val="44"/>
        </w:rPr>
      </w:pPr>
      <w:r>
        <w:rPr>
          <w:rFonts w:hint="eastAsia"/>
          <w:color w:val="000000"/>
          <w:sz w:val="44"/>
          <w:szCs w:val="44"/>
        </w:rPr>
        <w:t xml:space="preserve"> 社会责任报告</w:t>
      </w:r>
    </w:p>
    <w:p>
      <w:pPr>
        <w:jc w:val="center"/>
        <w:rPr>
          <w:rFonts w:hint="eastAsia" w:eastAsia="宋体"/>
          <w:color w:val="000000"/>
          <w:sz w:val="44"/>
          <w:szCs w:val="44"/>
          <w:lang w:eastAsia="zh-CN"/>
        </w:rPr>
      </w:pPr>
      <w:r>
        <w:rPr>
          <w:rFonts w:hint="eastAsia"/>
          <w:color w:val="000000"/>
          <w:sz w:val="44"/>
          <w:szCs w:val="44"/>
        </w:rPr>
        <w:t xml:space="preserve"> </w:t>
      </w:r>
      <w:r>
        <w:rPr>
          <w:rFonts w:hint="eastAsia" w:eastAsia="宋体"/>
          <w:color w:val="000000"/>
          <w:sz w:val="44"/>
          <w:szCs w:val="44"/>
          <w:lang w:eastAsia="zh-CN"/>
        </w:rPr>
        <w:drawing>
          <wp:inline distT="0" distB="0" distL="114300" distR="114300">
            <wp:extent cx="5212080" cy="3474720"/>
            <wp:effectExtent l="0" t="0" r="7620" b="5080"/>
            <wp:docPr id="5" name="图片 5" descr="54ffd62b50877f76cdae20c0d1b70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4ffd62b50877f76cdae20c0d1b706d"/>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p>
    <w:p>
      <w:pPr>
        <w:jc w:val="center"/>
        <w:rPr>
          <w:rFonts w:hint="eastAsia"/>
          <w:color w:val="000000"/>
          <w:sz w:val="44"/>
          <w:szCs w:val="44"/>
        </w:rPr>
      </w:pPr>
    </w:p>
    <w:p>
      <w:pPr>
        <w:jc w:val="center"/>
      </w:pPr>
      <w:r>
        <w:rPr>
          <w:rFonts w:hint="eastAsia" w:ascii="仿宋" w:eastAsia="仿宋"/>
          <w:b/>
          <w:color w:val="000000"/>
          <w:sz w:val="36"/>
          <w:szCs w:val="36"/>
        </w:rPr>
        <w:t>202</w:t>
      </w:r>
      <w:r>
        <w:rPr>
          <w:rFonts w:hint="eastAsia" w:ascii="仿宋" w:eastAsia="仿宋"/>
          <w:b/>
          <w:color w:val="000000"/>
          <w:sz w:val="36"/>
          <w:szCs w:val="36"/>
          <w:lang w:val="en-US" w:eastAsia="zh-CN"/>
        </w:rPr>
        <w:t>3</w:t>
      </w:r>
      <w:r>
        <w:rPr>
          <w:rFonts w:hint="eastAsia" w:ascii="仿宋" w:eastAsia="仿宋"/>
          <w:b/>
          <w:color w:val="000000"/>
          <w:sz w:val="36"/>
          <w:szCs w:val="36"/>
        </w:rPr>
        <w:t>年</w:t>
      </w:r>
      <w:r>
        <w:rPr>
          <w:rFonts w:hint="eastAsia" w:ascii="仿宋" w:eastAsia="仿宋"/>
          <w:b/>
          <w:color w:val="000000"/>
          <w:sz w:val="36"/>
          <w:szCs w:val="36"/>
          <w:lang w:val="en-US" w:eastAsia="zh-CN"/>
        </w:rPr>
        <w:t>11</w:t>
      </w:r>
      <w:r>
        <w:rPr>
          <w:rFonts w:hint="eastAsia" w:ascii="仿宋" w:eastAsia="仿宋"/>
          <w:b/>
          <w:color w:val="000000"/>
          <w:sz w:val="36"/>
          <w:szCs w:val="36"/>
        </w:rPr>
        <w:t>月</w:t>
      </w:r>
    </w:p>
    <w:p/>
    <w:p>
      <w:pPr>
        <w:widowControl/>
        <w:spacing w:afterLines="50"/>
        <w:jc w:val="center"/>
        <w:rPr>
          <w:rFonts w:ascii="宋体" w:cs="宋体"/>
          <w:b/>
          <w:bCs/>
          <w:color w:val="000000"/>
          <w:kern w:val="32"/>
          <w:sz w:val="44"/>
          <w:szCs w:val="44"/>
        </w:rPr>
      </w:pPr>
      <w:r>
        <w:rPr>
          <w:rFonts w:ascii="宋体" w:cs="Times New Roman"/>
          <w:b/>
          <w:color w:val="000000"/>
          <w:sz w:val="28"/>
          <w:szCs w:val="24"/>
        </w:rPr>
        <w:br w:type="page"/>
      </w:r>
      <w:r>
        <w:rPr>
          <w:rFonts w:hint="eastAsia" w:ascii="宋体" w:cs="宋体"/>
          <w:b/>
          <w:bCs/>
          <w:color w:val="000000"/>
          <w:kern w:val="32"/>
          <w:sz w:val="44"/>
          <w:szCs w:val="44"/>
        </w:rPr>
        <w:t>前言</w:t>
      </w:r>
    </w:p>
    <w:p>
      <w:pPr>
        <w:spacing w:line="360" w:lineRule="auto"/>
        <w:ind w:firstLine="480" w:firstLineChars="200"/>
        <w:rPr>
          <w:rFonts w:ascii="宋体" w:cs="宋体"/>
          <w:color w:val="000000"/>
          <w:kern w:val="0"/>
          <w:sz w:val="24"/>
          <w:szCs w:val="24"/>
        </w:rPr>
      </w:pPr>
      <w:r>
        <w:rPr>
          <w:rFonts w:hint="eastAsia" w:ascii="宋体" w:cs="宋体"/>
          <w:color w:val="000000"/>
          <w:kern w:val="0"/>
          <w:sz w:val="24"/>
          <w:szCs w:val="24"/>
        </w:rPr>
        <w:t>本公司出具的社会责任报告，是依据国家有关社会责任方面的法律法规、规章及相关行业质量标准、规范等进行编制。报告中关于公司社会责任履行情况是对公司现状的真实反映，本公司对报告内容的客观性负责，对相关论述和结论真实性负责。</w:t>
      </w:r>
    </w:p>
    <w:p>
      <w:pPr>
        <w:spacing w:line="360" w:lineRule="auto"/>
        <w:ind w:firstLine="480" w:firstLineChars="200"/>
        <w:rPr>
          <w:rFonts w:ascii="宋体" w:cs="宋体"/>
          <w:color w:val="000000"/>
          <w:kern w:val="0"/>
          <w:sz w:val="24"/>
          <w:szCs w:val="24"/>
        </w:rPr>
      </w:pPr>
      <w:r>
        <w:rPr>
          <w:rFonts w:hint="eastAsia" w:ascii="宋体" w:cs="宋体"/>
          <w:color w:val="000000"/>
          <w:kern w:val="0"/>
          <w:sz w:val="24"/>
          <w:szCs w:val="24"/>
        </w:rPr>
        <w:t>报告范围：</w:t>
      </w:r>
    </w:p>
    <w:p>
      <w:pPr>
        <w:spacing w:line="360" w:lineRule="auto"/>
        <w:ind w:firstLine="480" w:firstLineChars="200"/>
        <w:rPr>
          <w:rFonts w:ascii="宋体" w:cs="宋体"/>
          <w:color w:val="000000"/>
          <w:kern w:val="0"/>
          <w:sz w:val="24"/>
          <w:szCs w:val="24"/>
        </w:rPr>
      </w:pPr>
      <w:r>
        <w:rPr>
          <w:rFonts w:hint="eastAsia" w:ascii="宋体" w:cs="宋体"/>
          <w:color w:val="000000"/>
          <w:kern w:val="0"/>
          <w:sz w:val="24"/>
          <w:szCs w:val="24"/>
        </w:rPr>
        <w:t>本报告的组织范围为</w:t>
      </w:r>
      <w:r>
        <w:rPr>
          <w:rFonts w:hint="eastAsia" w:ascii="宋体" w:cs="宋体"/>
          <w:color w:val="000000"/>
          <w:kern w:val="0"/>
          <w:sz w:val="24"/>
          <w:szCs w:val="24"/>
          <w:lang w:eastAsia="zh-CN"/>
        </w:rPr>
        <w:t xml:space="preserve">安科化妆品（浙江）有限公司 </w:t>
      </w:r>
      <w:r>
        <w:rPr>
          <w:rFonts w:hint="eastAsia" w:ascii="宋体" w:cs="宋体"/>
          <w:color w:val="000000"/>
          <w:kern w:val="0"/>
          <w:sz w:val="24"/>
          <w:szCs w:val="24"/>
        </w:rPr>
        <w:t>。本报告描述了</w:t>
      </w:r>
      <w:r>
        <w:rPr>
          <w:rFonts w:ascii="宋体" w:cs="宋体"/>
          <w:color w:val="000000"/>
          <w:kern w:val="0"/>
          <w:sz w:val="24"/>
          <w:szCs w:val="24"/>
        </w:rPr>
        <w:t>202</w:t>
      </w:r>
      <w:r>
        <w:rPr>
          <w:rFonts w:hint="eastAsia" w:ascii="宋体" w:cs="宋体"/>
          <w:color w:val="000000"/>
          <w:kern w:val="0"/>
          <w:sz w:val="24"/>
          <w:szCs w:val="24"/>
          <w:lang w:val="en-US" w:eastAsia="zh-CN"/>
        </w:rPr>
        <w:t>3</w:t>
      </w:r>
      <w:r>
        <w:rPr>
          <w:rFonts w:hint="eastAsia" w:ascii="宋体" w:cs="宋体"/>
          <w:color w:val="000000"/>
          <w:kern w:val="0"/>
          <w:sz w:val="24"/>
          <w:szCs w:val="24"/>
        </w:rPr>
        <w:t>年1月</w:t>
      </w:r>
      <w:r>
        <w:rPr>
          <w:rFonts w:ascii="宋体" w:cs="宋体"/>
          <w:color w:val="000000"/>
          <w:kern w:val="0"/>
          <w:sz w:val="24"/>
          <w:szCs w:val="24"/>
        </w:rPr>
        <w:t>1</w:t>
      </w:r>
      <w:r>
        <w:rPr>
          <w:rFonts w:hint="eastAsia" w:ascii="宋体" w:cs="宋体"/>
          <w:color w:val="000000"/>
          <w:kern w:val="0"/>
          <w:sz w:val="24"/>
          <w:szCs w:val="24"/>
        </w:rPr>
        <w:t>日至</w:t>
      </w:r>
      <w:r>
        <w:rPr>
          <w:rFonts w:ascii="宋体" w:cs="宋体"/>
          <w:color w:val="000000"/>
          <w:kern w:val="0"/>
          <w:sz w:val="24"/>
          <w:szCs w:val="24"/>
        </w:rPr>
        <w:t>202</w:t>
      </w:r>
      <w:r>
        <w:rPr>
          <w:rFonts w:hint="eastAsia" w:ascii="宋体" w:cs="宋体"/>
          <w:color w:val="000000"/>
          <w:kern w:val="0"/>
          <w:sz w:val="24"/>
          <w:szCs w:val="24"/>
          <w:lang w:val="en-US" w:eastAsia="zh-CN"/>
        </w:rPr>
        <w:t>3</w:t>
      </w:r>
      <w:r>
        <w:rPr>
          <w:rFonts w:hint="eastAsia" w:ascii="宋体" w:cs="宋体"/>
          <w:color w:val="000000"/>
          <w:kern w:val="0"/>
          <w:sz w:val="24"/>
          <w:szCs w:val="24"/>
        </w:rPr>
        <w:t>年12月31日期间，公司在社会责任方面的措施和取得的绩效等。</w:t>
      </w:r>
    </w:p>
    <w:p>
      <w:pPr>
        <w:spacing w:line="360" w:lineRule="auto"/>
        <w:ind w:firstLine="480" w:firstLineChars="200"/>
        <w:rPr>
          <w:rFonts w:ascii="宋体" w:cs="宋体"/>
          <w:color w:val="000000"/>
          <w:kern w:val="0"/>
          <w:sz w:val="24"/>
          <w:szCs w:val="24"/>
        </w:rPr>
      </w:pPr>
      <w:r>
        <w:rPr>
          <w:rFonts w:hint="eastAsia" w:ascii="宋体" w:cs="宋体"/>
          <w:color w:val="000000"/>
          <w:kern w:val="0"/>
          <w:sz w:val="24"/>
          <w:szCs w:val="24"/>
        </w:rPr>
        <w:t>报告发布形式：</w:t>
      </w:r>
    </w:p>
    <w:p>
      <w:pPr>
        <w:spacing w:line="360" w:lineRule="auto"/>
        <w:ind w:firstLine="480" w:firstLineChars="200"/>
        <w:rPr>
          <w:rFonts w:ascii="宋体" w:cs="宋体"/>
          <w:color w:val="000000"/>
          <w:kern w:val="0"/>
          <w:sz w:val="24"/>
          <w:szCs w:val="24"/>
        </w:rPr>
      </w:pPr>
      <w:r>
        <w:rPr>
          <w:rFonts w:hint="eastAsia" w:ascii="宋体" w:cs="宋体"/>
          <w:color w:val="000000"/>
          <w:kern w:val="0"/>
          <w:sz w:val="24"/>
          <w:szCs w:val="24"/>
        </w:rPr>
        <w:t>本公司每年定期发布一次社会责任报告，本报告以</w:t>
      </w:r>
      <w:r>
        <w:rPr>
          <w:rFonts w:ascii="宋体" w:cs="宋体"/>
          <w:color w:val="000000"/>
          <w:kern w:val="0"/>
          <w:sz w:val="24"/>
          <w:szCs w:val="24"/>
        </w:rPr>
        <w:t>PDF</w:t>
      </w:r>
      <w:r>
        <w:rPr>
          <w:rFonts w:hint="eastAsia" w:ascii="宋体" w:cs="宋体"/>
          <w:color w:val="000000"/>
          <w:kern w:val="0"/>
          <w:sz w:val="24"/>
          <w:szCs w:val="24"/>
        </w:rPr>
        <w:t>电子文档形式通过网络向社会</w:t>
      </w:r>
      <w:r>
        <w:rPr>
          <w:rFonts w:hint="eastAsia" w:ascii="宋体" w:cs="宋体"/>
          <w:kern w:val="0"/>
          <w:sz w:val="24"/>
          <w:szCs w:val="24"/>
        </w:rPr>
        <w:t>公布</w:t>
      </w:r>
      <w:r>
        <w:rPr>
          <w:rFonts w:hint="eastAsia" w:ascii="宋体" w:cs="宋体"/>
          <w:color w:val="000000"/>
          <w:kern w:val="0"/>
          <w:sz w:val="24"/>
          <w:szCs w:val="24"/>
        </w:rPr>
        <w:t>，欢迎下载阅读并提出宝贵意见。公司希望通过本报告的发布来吸收利益相关方的意和建议，获得改进机会，以推进社会责任与公司发展战略、运营管理的融合发展。</w:t>
      </w:r>
    </w:p>
    <w:p>
      <w:pPr>
        <w:spacing w:line="360" w:lineRule="auto"/>
        <w:ind w:firstLine="480" w:firstLineChars="200"/>
        <w:rPr>
          <w:rFonts w:ascii="宋体" w:cs="宋体"/>
          <w:color w:val="000000"/>
          <w:kern w:val="0"/>
          <w:sz w:val="24"/>
          <w:szCs w:val="24"/>
        </w:rPr>
      </w:pPr>
    </w:p>
    <w:p>
      <w:pPr>
        <w:spacing w:line="360" w:lineRule="auto"/>
        <w:ind w:firstLine="720" w:firstLineChars="300"/>
        <w:jc w:val="right"/>
        <w:rPr>
          <w:rFonts w:hint="eastAsia" w:ascii="宋体" w:eastAsia="宋体" w:cs="宋体"/>
          <w:color w:val="000000"/>
          <w:kern w:val="0"/>
          <w:sz w:val="24"/>
          <w:szCs w:val="24"/>
          <w:lang w:val="en-US" w:eastAsia="zh-CN"/>
        </w:rPr>
      </w:pPr>
      <w:r>
        <w:rPr>
          <w:rFonts w:hint="eastAsia" w:ascii="宋体" w:cs="宋体"/>
          <w:color w:val="000000"/>
          <w:kern w:val="0"/>
          <w:sz w:val="24"/>
          <w:szCs w:val="24"/>
        </w:rPr>
        <w:t>总经理：</w:t>
      </w:r>
      <w:r>
        <w:rPr>
          <w:rFonts w:hint="eastAsia" w:ascii="宋体" w:cs="宋体"/>
          <w:color w:val="000000"/>
          <w:kern w:val="0"/>
          <w:sz w:val="24"/>
          <w:szCs w:val="24"/>
          <w:lang w:val="en-US" w:eastAsia="zh-CN"/>
        </w:rPr>
        <w:t>陈军</w:t>
      </w:r>
    </w:p>
    <w:p>
      <w:pPr>
        <w:spacing w:line="360" w:lineRule="auto"/>
        <w:ind w:firstLine="720" w:firstLineChars="300"/>
        <w:jc w:val="right"/>
        <w:rPr>
          <w:rFonts w:ascii="宋体" w:cs="宋体"/>
          <w:color w:val="000000"/>
          <w:kern w:val="0"/>
          <w:sz w:val="24"/>
          <w:szCs w:val="24"/>
        </w:rPr>
      </w:pPr>
      <w:r>
        <w:rPr>
          <w:rFonts w:hint="eastAsia" w:ascii="宋体" w:cs="宋体"/>
          <w:color w:val="000000"/>
          <w:kern w:val="0"/>
          <w:sz w:val="24"/>
          <w:szCs w:val="24"/>
        </w:rPr>
        <w:t>2</w:t>
      </w:r>
      <w:r>
        <w:rPr>
          <w:rFonts w:ascii="宋体" w:cs="宋体"/>
          <w:color w:val="000000"/>
          <w:kern w:val="0"/>
          <w:sz w:val="24"/>
          <w:szCs w:val="24"/>
        </w:rPr>
        <w:t>02</w:t>
      </w:r>
      <w:r>
        <w:rPr>
          <w:rFonts w:hint="eastAsia" w:ascii="宋体" w:cs="宋体"/>
          <w:color w:val="000000"/>
          <w:kern w:val="0"/>
          <w:sz w:val="24"/>
          <w:szCs w:val="24"/>
          <w:lang w:val="en-US" w:eastAsia="zh-CN"/>
        </w:rPr>
        <w:t>3</w:t>
      </w:r>
      <w:r>
        <w:rPr>
          <w:rFonts w:hint="eastAsia" w:ascii="宋体" w:cs="宋体"/>
          <w:color w:val="000000"/>
          <w:kern w:val="0"/>
          <w:sz w:val="24"/>
          <w:szCs w:val="24"/>
        </w:rPr>
        <w:t>年</w:t>
      </w:r>
      <w:r>
        <w:rPr>
          <w:rFonts w:hint="eastAsia" w:ascii="宋体" w:cs="宋体"/>
          <w:color w:val="000000"/>
          <w:kern w:val="0"/>
          <w:sz w:val="24"/>
          <w:szCs w:val="24"/>
          <w:lang w:val="en-US" w:eastAsia="zh-CN"/>
        </w:rPr>
        <w:t>11</w:t>
      </w:r>
      <w:r>
        <w:rPr>
          <w:rFonts w:hint="eastAsia" w:ascii="宋体" w:cs="宋体"/>
          <w:color w:val="000000"/>
          <w:kern w:val="0"/>
          <w:sz w:val="24"/>
          <w:szCs w:val="24"/>
        </w:rPr>
        <w:t>月</w:t>
      </w:r>
      <w:r>
        <w:rPr>
          <w:rFonts w:hint="eastAsia" w:ascii="宋体" w:cs="宋体"/>
          <w:color w:val="000000"/>
          <w:kern w:val="0"/>
          <w:sz w:val="24"/>
          <w:szCs w:val="24"/>
          <w:lang w:val="en-US" w:eastAsia="zh-CN"/>
        </w:rPr>
        <w:t>3</w:t>
      </w:r>
      <w:r>
        <w:rPr>
          <w:rFonts w:hint="eastAsia" w:ascii="宋体" w:cs="宋体"/>
          <w:color w:val="000000"/>
          <w:kern w:val="0"/>
          <w:sz w:val="24"/>
          <w:szCs w:val="24"/>
        </w:rPr>
        <w:t>日</w:t>
      </w:r>
    </w:p>
    <w:p>
      <w:pPr>
        <w:spacing w:beforeLines="50" w:afterLines="50" w:line="360" w:lineRule="auto"/>
        <w:outlineLvl w:val="0"/>
        <w:rPr>
          <w:rFonts w:ascii="宋体" w:cs="Times New Roman"/>
          <w:b/>
          <w:color w:val="000000"/>
          <w:sz w:val="28"/>
          <w:szCs w:val="24"/>
        </w:rPr>
      </w:pPr>
      <w:r>
        <w:rPr>
          <w:rFonts w:ascii="宋体" w:cs="宋体"/>
          <w:color w:val="000000"/>
          <w:kern w:val="0"/>
          <w:szCs w:val="21"/>
        </w:rPr>
        <w:br w:type="page"/>
      </w:r>
      <w:r>
        <w:rPr>
          <w:rFonts w:hint="eastAsia" w:ascii="宋体" w:cs="Times New Roman"/>
          <w:b/>
          <w:color w:val="000000"/>
          <w:sz w:val="28"/>
          <w:szCs w:val="24"/>
        </w:rPr>
        <w:t>一、</w:t>
      </w:r>
      <w:r>
        <w:rPr>
          <w:rFonts w:hint="eastAsia" w:ascii="宋体" w:cs="Times New Roman"/>
          <w:b/>
          <w:color w:val="000000"/>
          <w:sz w:val="28"/>
          <w:szCs w:val="24"/>
          <w:lang w:eastAsia="zh-CN"/>
        </w:rPr>
        <w:t xml:space="preserve">安科化妆品（浙江）有限公司 </w:t>
      </w:r>
      <w:r>
        <w:rPr>
          <w:rFonts w:ascii="宋体" w:cs="Times New Roman"/>
          <w:b/>
          <w:color w:val="000000"/>
          <w:sz w:val="28"/>
          <w:szCs w:val="24"/>
        </w:rPr>
        <w:t>简介</w:t>
      </w:r>
    </w:p>
    <w:p>
      <w:pPr>
        <w:adjustRightInd w:val="0"/>
        <w:snapToGrid w:val="0"/>
        <w:spacing w:line="360" w:lineRule="auto"/>
        <w:ind w:firstLine="480" w:firstLineChars="200"/>
        <w:rPr>
          <w:rFonts w:hint="eastAsia" w:ascii="宋体" w:hAnsi="宋体" w:cs="宋体"/>
          <w:sz w:val="24"/>
          <w:szCs w:val="24"/>
        </w:rPr>
      </w:pPr>
      <w:r>
        <w:rPr>
          <w:rFonts w:hint="eastAsia" w:ascii="新宋体" w:hAnsi="新宋体" w:eastAsia="新宋体" w:cs="新宋体"/>
          <w:sz w:val="24"/>
          <w:lang w:val="en-US" w:eastAsia="zh-CN"/>
        </w:rPr>
        <w:t xml:space="preserve">    </w:t>
      </w:r>
      <w:r>
        <w:rPr>
          <w:rFonts w:hint="eastAsia" w:ascii="宋体" w:hAnsi="Times New Roman" w:eastAsia="宋体" w:cs="宋体"/>
          <w:color w:val="000000"/>
          <w:kern w:val="0"/>
          <w:sz w:val="24"/>
          <w:szCs w:val="24"/>
          <w:lang w:val="en-US" w:eastAsia="zh-CN" w:bidi="ar-SA"/>
        </w:rPr>
        <w:t>安科化妆品（浙江）有限公司是一家国家高新技术企业、浙江省科技型中小企业、安全生产标准化企业、长三角放心消费单位、工业亩产效益综合评价A类企业、化妆品生产企业质量信用评定A级企业等多项社会荣誉资质的浙中地区知名的彩妆OEM/ODM工厂。公司生产面积近30000平米，拥有200多人的团队，具有良好的生产条件，标准化的生产车间，丰富的化妆品生产经验，引进意大利、韩国、台湾地区的先进生产设备，技术力量过硬，在国内拥有多个研发室、理化检验室、微生物培养室等。同时我司已经通过GMPC、ISO22716、SQP、BRC、Sedex、Bsci等国际认证。公司遵循欧盟的法规以及根据《欧盟化妆品法规1223/2009（EC）》，我司产品已经通过ITS和SGS的检测。并且在生产过程中，我们严格按照环保要求进行生产。卓越的品质，研发出的产品以其丰富的色彩，富有质感而又轻盈透气的品质，迅速铺开国外市场，深受化妆使用者欢迎。产品远销美国、英国、乌克兰、俄罗斯、巴西等欧美国家，受到外国用户的高度认可。</w:t>
      </w:r>
      <w:r>
        <w:rPr>
          <w:rFonts w:hint="eastAsia" w:ascii="宋体" w:hAnsi="宋体" w:cs="宋体"/>
          <w:sz w:val="24"/>
          <w:szCs w:val="24"/>
        </w:rPr>
        <w:t>为社会创造物质财富和精神财富，多年来一直保持良好的发展趋势，在本地区同行业名列前茅：已连续多年获得化妆品生产企业质量信用评定A级企业、工业亩产效益综合评价A类企业、国家高新技术企业、浙江省保健品化妆品行业协会副会长单位等荣誉资质。</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本着互利共赢、携手并肩、共创辉煌的企业理念；“务实、高效、创新”的经营宗旨，公司不断开拓进取，竭诚为消费者提供最适合、最完美的优质产品。</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Times New Roman" w:eastAsia="宋体" w:cs="宋体"/>
          <w:color w:val="000000"/>
          <w:kern w:val="0"/>
          <w:sz w:val="24"/>
          <w:szCs w:val="24"/>
          <w:lang w:val="en-US" w:eastAsia="zh-CN" w:bidi="ar-SA"/>
        </w:rPr>
      </w:pPr>
    </w:p>
    <w:p>
      <w:pPr>
        <w:spacing w:line="360" w:lineRule="auto"/>
        <w:ind w:firstLine="562" w:firstLineChars="200"/>
        <w:rPr>
          <w:rFonts w:ascii="宋体" w:cs="Times New Roman"/>
          <w:b/>
          <w:color w:val="000000"/>
          <w:sz w:val="28"/>
          <w:szCs w:val="24"/>
        </w:rPr>
      </w:pPr>
      <w:r>
        <w:rPr>
          <w:rFonts w:ascii="宋体" w:cs="Times New Roman"/>
          <w:b/>
          <w:color w:val="000000"/>
          <w:sz w:val="28"/>
          <w:szCs w:val="24"/>
        </w:rPr>
        <w:br w:type="page"/>
      </w:r>
      <w:r>
        <w:rPr>
          <w:rFonts w:hint="eastAsia" w:ascii="宋体" w:cs="Times New Roman"/>
          <w:b/>
          <w:color w:val="000000"/>
          <w:sz w:val="28"/>
          <w:szCs w:val="24"/>
        </w:rPr>
        <w:t>二、</w:t>
      </w:r>
      <w:r>
        <w:rPr>
          <w:rFonts w:ascii="宋体" w:cs="Times New Roman"/>
          <w:b/>
          <w:color w:val="000000"/>
          <w:sz w:val="28"/>
          <w:szCs w:val="24"/>
        </w:rPr>
        <w:t>组织架构</w:t>
      </w:r>
      <w:r>
        <w:rPr>
          <w:rFonts w:hint="eastAsia" w:ascii="宋体" w:cs="Times New Roman"/>
          <w:b/>
          <w:color w:val="000000"/>
          <w:sz w:val="28"/>
          <w:szCs w:val="24"/>
        </w:rPr>
        <w:t>及</w:t>
      </w:r>
      <w:r>
        <w:rPr>
          <w:rFonts w:ascii="宋体" w:cs="Times New Roman"/>
          <w:b/>
          <w:color w:val="000000"/>
          <w:sz w:val="28"/>
          <w:szCs w:val="24"/>
        </w:rPr>
        <w:t>主要产品</w:t>
      </w:r>
    </w:p>
    <w:p>
      <w:pPr>
        <w:spacing w:beforeLines="50" w:afterLines="50" w:line="360" w:lineRule="auto"/>
        <w:outlineLvl w:val="0"/>
        <w:rPr>
          <w:rFonts w:ascii="宋体" w:cs="宋体"/>
          <w:color w:val="000000"/>
          <w:kern w:val="0"/>
          <w:szCs w:val="21"/>
          <w:highlight w:val="none"/>
        </w:rPr>
      </w:pPr>
      <w:r>
        <w:rPr>
          <w:rFonts w:ascii="宋体" w:cs="宋体"/>
          <w:color w:val="000000"/>
          <w:kern w:val="0"/>
          <w:szCs w:val="21"/>
          <w:highlight w:val="none"/>
        </w:rPr>
        <w:t>1</w:t>
      </w:r>
      <w:r>
        <w:rPr>
          <w:rFonts w:hint="eastAsia" w:ascii="宋体" w:cs="宋体"/>
          <w:color w:val="000000"/>
          <w:kern w:val="0"/>
          <w:szCs w:val="21"/>
          <w:highlight w:val="none"/>
        </w:rPr>
        <w:t>、组织</w:t>
      </w:r>
      <w:r>
        <w:rPr>
          <w:rFonts w:ascii="宋体" w:cs="宋体"/>
          <w:color w:val="000000"/>
          <w:kern w:val="0"/>
          <w:szCs w:val="21"/>
          <w:highlight w:val="none"/>
        </w:rPr>
        <w:t>架构图</w:t>
      </w:r>
    </w:p>
    <w:p>
      <w:pPr>
        <w:snapToGrid w:val="0"/>
        <w:spacing w:line="300" w:lineRule="auto"/>
        <w:jc w:val="center"/>
        <w:rPr>
          <w:rFonts w:ascii="宋体"/>
          <w:b/>
          <w:sz w:val="22"/>
        </w:rPr>
      </w:pPr>
      <w:r>
        <w:drawing>
          <wp:inline distT="0" distB="0" distL="114300" distR="114300">
            <wp:extent cx="5273040" cy="3519805"/>
            <wp:effectExtent l="0" t="0" r="1016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3519805"/>
                    </a:xfrm>
                    <a:prstGeom prst="rect">
                      <a:avLst/>
                    </a:prstGeom>
                    <a:noFill/>
                    <a:ln>
                      <a:noFill/>
                    </a:ln>
                  </pic:spPr>
                </pic:pic>
              </a:graphicData>
            </a:graphic>
          </wp:inline>
        </w:drawing>
      </w:r>
    </w:p>
    <w:p>
      <w:pPr>
        <w:spacing w:beforeLines="50" w:afterLines="50" w:line="360" w:lineRule="auto"/>
        <w:outlineLvl w:val="0"/>
        <w:rPr>
          <w:rFonts w:ascii="宋体" w:cs="Times New Roman"/>
          <w:b/>
          <w:color w:val="000000"/>
          <w:sz w:val="24"/>
          <w:szCs w:val="24"/>
        </w:rPr>
      </w:pPr>
      <w:r>
        <w:rPr>
          <w:rFonts w:hint="eastAsia" w:ascii="宋体" w:cs="Times New Roman"/>
          <w:b/>
          <w:color w:val="000000"/>
          <w:sz w:val="24"/>
          <w:szCs w:val="24"/>
        </w:rPr>
        <w:t>2、</w:t>
      </w:r>
      <w:r>
        <w:rPr>
          <w:rFonts w:ascii="宋体" w:cs="Times New Roman"/>
          <w:b/>
          <w:color w:val="000000"/>
          <w:sz w:val="24"/>
          <w:szCs w:val="24"/>
        </w:rPr>
        <w:t>主要产品</w:t>
      </w:r>
    </w:p>
    <w:p>
      <w:pPr>
        <w:pStyle w:val="62"/>
        <w:spacing w:line="360" w:lineRule="auto"/>
        <w:ind w:firstLine="480" w:firstLineChars="200"/>
        <w:rPr>
          <w:rFonts w:ascii="宋体" w:eastAsia="宋体" w:cs="宋体"/>
        </w:rPr>
      </w:pPr>
      <w:r>
        <w:rPr>
          <w:rFonts w:hint="eastAsia" w:ascii="宋体" w:eastAsia="宋体" w:cs="宋体"/>
        </w:rPr>
        <w:t>公司集团的一家集设计、制造、进出口贸易为一体的专业现代化化妆品公司，专业生产并销售</w:t>
      </w:r>
      <w:r>
        <w:rPr>
          <w:rFonts w:hint="eastAsia" w:ascii="宋体" w:eastAsia="宋体" w:cs="宋体"/>
          <w:lang w:val="en-US" w:eastAsia="zh-CN"/>
        </w:rPr>
        <w:t>粉类产品/蜡基类产品/膏霜乳液一般液态类产品</w:t>
      </w:r>
      <w:r>
        <w:rPr>
          <w:rFonts w:hint="eastAsia" w:ascii="宋体" w:eastAsia="宋体" w:cs="宋体"/>
        </w:rPr>
        <w:t>等产品，覆盖彩妆、护肤、清洁洗护等多个系列产品。拥有“shicelle”</w:t>
      </w:r>
      <w:r>
        <w:rPr>
          <w:rFonts w:hint="eastAsia" w:ascii="宋体" w:eastAsia="宋体" w:cs="宋体"/>
          <w:lang w:val="en-US" w:eastAsia="zh-CN"/>
        </w:rPr>
        <w:t xml:space="preserve"> </w:t>
      </w:r>
      <w:r>
        <w:rPr>
          <w:rFonts w:hint="eastAsia" w:ascii="宋体" w:eastAsia="宋体" w:cs="宋体"/>
        </w:rPr>
        <w:t>品牌。公司主要经营产品见下表:</w:t>
      </w:r>
    </w:p>
    <w:tbl>
      <w:tblPr>
        <w:tblStyle w:val="39"/>
        <w:tblW w:w="79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9"/>
        <w:gridCol w:w="4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069" w:type="dxa"/>
            <w:shd w:val="clear" w:color="auto" w:fill="0070C0"/>
            <w:vAlign w:val="center"/>
          </w:tcPr>
          <w:p>
            <w:pPr>
              <w:spacing w:line="300" w:lineRule="auto"/>
              <w:jc w:val="center"/>
              <w:rPr>
                <w:b/>
                <w:color w:val="FFFFFF"/>
                <w:sz w:val="22"/>
              </w:rPr>
            </w:pPr>
            <w:r>
              <w:rPr>
                <w:b/>
                <w:color w:val="FFFFFF"/>
                <w:sz w:val="22"/>
              </w:rPr>
              <w:t>产品种类</w:t>
            </w:r>
          </w:p>
        </w:tc>
        <w:tc>
          <w:tcPr>
            <w:tcW w:w="4919" w:type="dxa"/>
            <w:shd w:val="clear" w:color="auto" w:fill="0070C0"/>
            <w:vAlign w:val="center"/>
          </w:tcPr>
          <w:p>
            <w:pPr>
              <w:spacing w:line="300" w:lineRule="auto"/>
              <w:jc w:val="center"/>
              <w:rPr>
                <w:b/>
                <w:color w:val="FFFFFF"/>
                <w:sz w:val="22"/>
              </w:rPr>
            </w:pPr>
            <w:r>
              <w:rPr>
                <w:b/>
                <w:color w:val="FFFFFF"/>
                <w:sz w:val="22"/>
              </w:rPr>
              <w:t>产品名称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069" w:type="dxa"/>
            <w:vAlign w:val="center"/>
          </w:tcPr>
          <w:p>
            <w:pPr>
              <w:spacing w:line="300" w:lineRule="auto"/>
              <w:jc w:val="center"/>
              <w:rPr>
                <w:sz w:val="22"/>
              </w:rPr>
            </w:pPr>
            <w:r>
              <w:rPr>
                <w:rFonts w:hint="eastAsia"/>
                <w:sz w:val="22"/>
              </w:rPr>
              <w:t>彩妆系列</w:t>
            </w:r>
          </w:p>
        </w:tc>
        <w:tc>
          <w:tcPr>
            <w:tcW w:w="4919" w:type="dxa"/>
            <w:vAlign w:val="center"/>
          </w:tcPr>
          <w:p>
            <w:pPr>
              <w:spacing w:line="300" w:lineRule="auto"/>
              <w:jc w:val="center"/>
              <w:rPr>
                <w:rFonts w:ascii="宋体" w:cs="宋体"/>
              </w:rPr>
            </w:pPr>
            <w:r>
              <w:rPr>
                <w:rFonts w:hint="eastAsia" w:ascii="宋体" w:cs="宋体"/>
              </w:rPr>
              <w:t>粉饼、腮红、眼影、烤粉、修容粉、提亮粉、散粉等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1" w:hRule="atLeast"/>
          <w:jc w:val="center"/>
        </w:trPr>
        <w:tc>
          <w:tcPr>
            <w:tcW w:w="3069" w:type="dxa"/>
            <w:vAlign w:val="center"/>
          </w:tcPr>
          <w:p>
            <w:pPr>
              <w:spacing w:line="300" w:lineRule="auto"/>
              <w:jc w:val="center"/>
              <w:rPr>
                <w:rFonts w:hint="default" w:eastAsia="宋体"/>
                <w:sz w:val="22"/>
                <w:lang w:val="en-US" w:eastAsia="zh-CN"/>
              </w:rPr>
            </w:pPr>
            <w:r>
              <w:rPr>
                <w:rFonts w:hint="eastAsia"/>
                <w:sz w:val="22"/>
                <w:lang w:val="en-US" w:eastAsia="zh-CN"/>
              </w:rPr>
              <w:t>蜡基类产品</w:t>
            </w:r>
          </w:p>
        </w:tc>
        <w:tc>
          <w:tcPr>
            <w:tcW w:w="4919" w:type="dxa"/>
            <w:vAlign w:val="center"/>
          </w:tcPr>
          <w:p>
            <w:pPr>
              <w:spacing w:line="300" w:lineRule="auto"/>
              <w:jc w:val="center"/>
              <w:rPr>
                <w:rFonts w:hint="eastAsia" w:ascii="宋体" w:cs="宋体"/>
              </w:rPr>
            </w:pPr>
            <w:r>
              <w:rPr>
                <w:rFonts w:hint="eastAsia" w:ascii="宋体" w:cs="宋体"/>
              </w:rPr>
              <w:t>口红、唇彩、唇油、粉底液、睫毛膏、眼线液、眼线膏、眉膏等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69" w:type="dxa"/>
            <w:vAlign w:val="center"/>
          </w:tcPr>
          <w:p>
            <w:pPr>
              <w:spacing w:line="300" w:lineRule="auto"/>
              <w:jc w:val="center"/>
              <w:rPr>
                <w:sz w:val="22"/>
              </w:rPr>
            </w:pPr>
            <w:r>
              <w:rPr>
                <w:rFonts w:hint="eastAsia"/>
                <w:sz w:val="22"/>
              </w:rPr>
              <w:t>其他系列</w:t>
            </w:r>
          </w:p>
        </w:tc>
        <w:tc>
          <w:tcPr>
            <w:tcW w:w="4919" w:type="dxa"/>
            <w:vAlign w:val="center"/>
          </w:tcPr>
          <w:p>
            <w:pPr>
              <w:spacing w:line="300" w:lineRule="auto"/>
              <w:jc w:val="center"/>
              <w:rPr>
                <w:rFonts w:ascii="宋体" w:cs="宋体"/>
              </w:rPr>
            </w:pPr>
            <w:r>
              <w:rPr>
                <w:rFonts w:hint="eastAsia" w:ascii="宋体" w:cs="宋体"/>
              </w:rPr>
              <w:t>护肤、清洁洗护等</w:t>
            </w:r>
          </w:p>
        </w:tc>
      </w:tr>
    </w:tbl>
    <w:p>
      <w:pPr>
        <w:spacing w:beforeLines="50" w:afterLines="50" w:line="360" w:lineRule="auto"/>
        <w:outlineLvl w:val="0"/>
      </w:pPr>
      <w:r>
        <w:rPr>
          <w:rFonts w:hint="eastAsia" w:ascii="宋体" w:cs="Times New Roman"/>
          <w:b/>
          <w:color w:val="000000"/>
          <w:sz w:val="28"/>
          <w:szCs w:val="24"/>
        </w:rPr>
        <w:t>三、 社会责任</w:t>
      </w:r>
    </w:p>
    <w:p>
      <w:pPr>
        <w:spacing w:beforeLines="50" w:afterLines="50"/>
        <w:outlineLvl w:val="1"/>
        <w:rPr>
          <w:rFonts w:ascii="宋体" w:cs="宋体"/>
          <w:b/>
          <w:sz w:val="23"/>
          <w:szCs w:val="23"/>
        </w:rPr>
      </w:pPr>
      <w:r>
        <w:rPr>
          <w:rFonts w:hint="eastAsia" w:ascii="宋体" w:cs="宋体"/>
          <w:b/>
          <w:sz w:val="23"/>
          <w:szCs w:val="23"/>
        </w:rPr>
        <w:t>（一）公司治理</w:t>
      </w:r>
    </w:p>
    <w:p>
      <w:pPr>
        <w:pStyle w:val="62"/>
        <w:spacing w:line="360" w:lineRule="auto"/>
        <w:ind w:firstLine="480" w:firstLineChars="200"/>
        <w:rPr>
          <w:rFonts w:ascii="宋体" w:eastAsia="宋体" w:cs="宋体"/>
        </w:rPr>
      </w:pPr>
      <w:r>
        <w:rPr>
          <w:rFonts w:hint="eastAsia" w:ascii="宋体" w:eastAsia="宋体" w:cs="宋体"/>
        </w:rPr>
        <w:t>公司不断完善组织治理机构，建立了科学的监控系统，定期评审高层领导的绩效，努力保证内外部审计独立性与有效性，有机协调了企业与各相关方的利益。</w:t>
      </w:r>
    </w:p>
    <w:p>
      <w:pPr>
        <w:pStyle w:val="62"/>
        <w:numPr>
          <w:ilvl w:val="0"/>
          <w:numId w:val="1"/>
        </w:numPr>
        <w:spacing w:line="360" w:lineRule="auto"/>
        <w:ind w:firstLine="0"/>
        <w:rPr>
          <w:rFonts w:ascii="宋体" w:eastAsia="宋体" w:cs="宋体"/>
        </w:rPr>
      </w:pPr>
      <w:r>
        <w:rPr>
          <w:rFonts w:hint="eastAsia" w:ascii="宋体" w:eastAsia="宋体" w:cs="宋体"/>
        </w:rPr>
        <w:t>组织行为的管理责任</w:t>
      </w:r>
    </w:p>
    <w:p>
      <w:pPr>
        <w:pStyle w:val="62"/>
        <w:spacing w:line="360" w:lineRule="auto"/>
        <w:rPr>
          <w:rFonts w:ascii="宋体" w:eastAsia="宋体" w:cs="宋体"/>
        </w:rPr>
      </w:pPr>
      <w:r>
        <w:rPr>
          <w:rFonts w:hint="eastAsia" w:ascii="宋体" w:eastAsia="宋体" w:cs="宋体"/>
        </w:rPr>
        <w:t>（</w:t>
      </w:r>
      <w:r>
        <w:rPr>
          <w:rFonts w:ascii="Calibri" w:hAnsi="Calibri" w:eastAsia="宋体" w:cs="Calibri"/>
        </w:rPr>
        <w:t>1</w:t>
      </w:r>
      <w:r>
        <w:rPr>
          <w:rFonts w:hint="eastAsia" w:ascii="宋体" w:eastAsia="宋体" w:cs="宋体"/>
        </w:rPr>
        <w:t>）明确经营责任、道德责任和法律责任</w:t>
      </w:r>
    </w:p>
    <w:p>
      <w:pPr>
        <w:pStyle w:val="62"/>
        <w:spacing w:line="360" w:lineRule="auto"/>
        <w:ind w:firstLine="480" w:firstLineChars="200"/>
        <w:rPr>
          <w:rFonts w:ascii="宋体" w:eastAsia="宋体" w:cs="宋体"/>
        </w:rPr>
      </w:pPr>
      <w:r>
        <w:rPr>
          <w:rFonts w:hint="eastAsia" w:ascii="宋体" w:eastAsia="宋体" w:cs="宋体"/>
        </w:rPr>
        <w:t>公司根据《公司法》明确公司高级管理人员的责任、权利与义务，形成企业决策、执行和监督机构相互协调、相互制约的机制。公司定期对关键领导岗位进行监督、审计，促使高管人员肩负起忠实和勤勉义务，保证组织活动的合法性、规范性、有效性。</w:t>
      </w:r>
    </w:p>
    <w:p>
      <w:pPr>
        <w:pStyle w:val="62"/>
        <w:spacing w:line="360" w:lineRule="auto"/>
        <w:rPr>
          <w:rFonts w:ascii="宋体" w:eastAsia="宋体" w:cs="宋体"/>
        </w:rPr>
      </w:pPr>
      <w:r>
        <w:rPr>
          <w:rFonts w:hint="eastAsia" w:ascii="宋体" w:eastAsia="宋体" w:cs="宋体"/>
        </w:rPr>
        <w:t>（</w:t>
      </w:r>
      <w:r>
        <w:rPr>
          <w:rFonts w:ascii="Calibri" w:hAnsi="Calibri" w:eastAsia="宋体" w:cs="Calibri"/>
        </w:rPr>
        <w:t>2</w:t>
      </w:r>
      <w:r>
        <w:rPr>
          <w:rFonts w:hint="eastAsia" w:ascii="宋体" w:eastAsia="宋体" w:cs="宋体"/>
        </w:rPr>
        <w:t>）落实财务责任</w:t>
      </w:r>
    </w:p>
    <w:p>
      <w:pPr>
        <w:pStyle w:val="62"/>
        <w:spacing w:line="360" w:lineRule="auto"/>
        <w:ind w:firstLine="480" w:firstLineChars="200"/>
        <w:rPr>
          <w:rFonts w:ascii="宋体" w:eastAsia="宋体" w:cs="宋体"/>
        </w:rPr>
      </w:pPr>
      <w:r>
        <w:rPr>
          <w:rFonts w:hint="eastAsia" w:ascii="宋体" w:eastAsia="宋体" w:cs="宋体"/>
        </w:rPr>
        <w:t>公司根据《会计法》等法律法规，对投资项目审批、结算管理、成本核算、费用报销、应收账款管理等做出明确规定，从而健全了财务制度。公司财务负责人由公司董事长任命，并得到董事会同意，保证财务的独立运作。财务向公司委托第三方负责，为公司经营提供相关财务服务与支持，从理财与管财角度履行责任。</w:t>
      </w:r>
    </w:p>
    <w:p>
      <w:pPr>
        <w:pStyle w:val="62"/>
        <w:spacing w:line="360" w:lineRule="auto"/>
        <w:rPr>
          <w:rFonts w:ascii="宋体" w:eastAsia="宋体" w:cs="宋体"/>
        </w:rPr>
      </w:pPr>
      <w:r>
        <w:rPr>
          <w:rFonts w:hint="eastAsia" w:ascii="宋体" w:eastAsia="宋体" w:cs="宋体"/>
        </w:rPr>
        <w:t>（</w:t>
      </w:r>
      <w:r>
        <w:rPr>
          <w:rFonts w:ascii="Calibri" w:hAnsi="Calibri" w:eastAsia="宋体" w:cs="Calibri"/>
        </w:rPr>
        <w:t>3</w:t>
      </w:r>
      <w:r>
        <w:rPr>
          <w:rFonts w:hint="eastAsia" w:ascii="宋体" w:eastAsia="宋体" w:cs="宋体"/>
        </w:rPr>
        <w:t>）确保经营管理透明及信息及时披露</w:t>
      </w:r>
    </w:p>
    <w:p>
      <w:pPr>
        <w:pStyle w:val="62"/>
        <w:spacing w:line="360" w:lineRule="auto"/>
        <w:ind w:firstLine="480" w:firstLineChars="200"/>
        <w:rPr>
          <w:rFonts w:ascii="宋体" w:eastAsia="宋体" w:cs="宋体"/>
        </w:rPr>
      </w:pPr>
      <w:r>
        <w:rPr>
          <w:rFonts w:hint="eastAsia" w:ascii="宋体" w:eastAsia="宋体" w:cs="宋体"/>
        </w:rPr>
        <w:t>公司严格按照信息披露制度要求，定期将财务变化、公司经营状况等信息和资料向董事会报告，保证公司经营的透明化。</w:t>
      </w:r>
    </w:p>
    <w:p>
      <w:pPr>
        <w:pStyle w:val="62"/>
        <w:spacing w:line="360" w:lineRule="auto"/>
        <w:rPr>
          <w:rFonts w:ascii="宋体" w:eastAsia="宋体" w:cs="宋体"/>
        </w:rPr>
      </w:pPr>
      <w:r>
        <w:rPr>
          <w:rFonts w:hint="eastAsia" w:ascii="宋体" w:eastAsia="宋体" w:cs="宋体"/>
        </w:rPr>
        <w:t>（</w:t>
      </w:r>
      <w:r>
        <w:rPr>
          <w:rFonts w:ascii="Calibri" w:hAnsi="Calibri" w:eastAsia="宋体" w:cs="Calibri"/>
        </w:rPr>
        <w:t>4</w:t>
      </w:r>
      <w:r>
        <w:rPr>
          <w:rFonts w:hint="eastAsia" w:ascii="宋体" w:eastAsia="宋体" w:cs="宋体"/>
        </w:rPr>
        <w:t>）审计的独立性</w:t>
      </w:r>
    </w:p>
    <w:p>
      <w:pPr>
        <w:pStyle w:val="62"/>
        <w:spacing w:line="360" w:lineRule="auto"/>
        <w:ind w:firstLine="480" w:firstLineChars="200"/>
        <w:rPr>
          <w:rFonts w:ascii="宋体" w:eastAsia="宋体" w:cs="宋体"/>
        </w:rPr>
      </w:pPr>
      <w:r>
        <w:rPr>
          <w:rFonts w:hint="eastAsia" w:ascii="宋体" w:eastAsia="宋体" w:cs="宋体"/>
        </w:rPr>
        <w:t>公司每年定期委托第三方会</w:t>
      </w:r>
      <w:r>
        <w:rPr>
          <w:rFonts w:ascii="宋体" w:eastAsia="宋体" w:cs="宋体"/>
        </w:rPr>
        <w:t>计师事务所</w:t>
      </w:r>
      <w:r>
        <w:rPr>
          <w:rFonts w:hint="eastAsia" w:ascii="宋体" w:eastAsia="宋体" w:cs="宋体"/>
        </w:rPr>
        <w:t>进行财务审计，对经营过程进行严格监控，逐步建立了完善的内部监控体系，确保财务数据合法、准确、真实。</w:t>
      </w:r>
    </w:p>
    <w:p>
      <w:pPr>
        <w:pStyle w:val="62"/>
        <w:spacing w:line="360" w:lineRule="auto"/>
        <w:rPr>
          <w:rFonts w:ascii="宋体" w:eastAsia="宋体" w:cs="宋体"/>
        </w:rPr>
      </w:pPr>
      <w:r>
        <w:rPr>
          <w:rFonts w:hint="eastAsia" w:ascii="宋体" w:eastAsia="宋体" w:cs="宋体"/>
        </w:rPr>
        <w:t>（</w:t>
      </w:r>
      <w:r>
        <w:rPr>
          <w:rFonts w:ascii="Calibri" w:hAnsi="Calibri" w:eastAsia="宋体" w:cs="Calibri"/>
        </w:rPr>
        <w:t>5</w:t>
      </w:r>
      <w:r>
        <w:rPr>
          <w:rFonts w:hint="eastAsia" w:ascii="宋体" w:eastAsia="宋体" w:cs="宋体"/>
        </w:rPr>
        <w:t>）相关方利益的保护</w:t>
      </w:r>
    </w:p>
    <w:p>
      <w:pPr>
        <w:pStyle w:val="62"/>
        <w:spacing w:line="360" w:lineRule="auto"/>
        <w:ind w:firstLine="480" w:firstLineChars="200"/>
        <w:rPr>
          <w:rFonts w:ascii="宋体" w:eastAsia="宋体" w:cs="宋体"/>
        </w:rPr>
      </w:pPr>
      <w:r>
        <w:rPr>
          <w:rFonts w:hint="eastAsia" w:ascii="宋体" w:eastAsia="宋体" w:cs="宋体"/>
        </w:rPr>
        <w:t>公司一贯坚持诚信共赢的经营理念，着眼企业持续发展，依据《公司法》等法律法规，进行公司信用体系建设，积极维护各相关方利益。</w:t>
      </w:r>
    </w:p>
    <w:p>
      <w:pPr>
        <w:pStyle w:val="62"/>
        <w:spacing w:line="360" w:lineRule="auto"/>
        <w:ind w:firstLine="480" w:firstLineChars="200"/>
        <w:rPr>
          <w:rFonts w:ascii="宋体" w:eastAsia="宋体" w:cs="宋体"/>
        </w:rPr>
      </w:pPr>
      <w:r>
        <w:rPr>
          <w:rFonts w:hint="eastAsia" w:ascii="宋体" w:eastAsia="宋体" w:cs="宋体"/>
        </w:rPr>
        <w:t>1)董事会利益的保护：为有效保护董事会利益，定期对公司各高级管理人员职权行使、重大投资、财务收支和经济活动等组织行为进行监督、审计，保证公司活动的合法性、规范性、有效性。</w:t>
      </w:r>
    </w:p>
    <w:p>
      <w:pPr>
        <w:pStyle w:val="62"/>
        <w:spacing w:line="360" w:lineRule="auto"/>
        <w:ind w:firstLine="480" w:firstLineChars="200"/>
        <w:rPr>
          <w:rFonts w:ascii="宋体" w:eastAsia="宋体" w:cs="宋体"/>
        </w:rPr>
      </w:pPr>
      <w:r>
        <w:rPr>
          <w:rFonts w:hint="eastAsia" w:ascii="宋体" w:eastAsia="宋体" w:cs="宋体"/>
        </w:rPr>
        <w:t>2)员工利益的保护：公司认真贯彻执行《劳动法》和《劳动法实施细则》等国家相关法律法规，依法与所有员工签订劳动合同，并将涉及员工利益的基本报酬、工作时间、休假、劳动安全、社会保险与福利、职业培训等内容进行具体规定，有效维护了员工的合法权益。另外，公司定期向工会和员工代表通报公司的经营情况和其他相关信息，保证公司的运营透明度，以及员工的参与权、知情权等各项民主权利。</w:t>
      </w:r>
    </w:p>
    <w:p>
      <w:pPr>
        <w:pStyle w:val="62"/>
        <w:spacing w:line="360" w:lineRule="auto"/>
        <w:ind w:firstLine="480" w:firstLineChars="200"/>
        <w:rPr>
          <w:rFonts w:cs="宋体" w:asciiTheme="minorEastAsia" w:hAnsiTheme="minorEastAsia" w:eastAsiaTheme="minorEastAsia"/>
        </w:rPr>
      </w:pPr>
      <w:r>
        <w:rPr>
          <w:rFonts w:hint="eastAsia" w:cs="宋体" w:asciiTheme="minorEastAsia" w:hAnsiTheme="minorEastAsia" w:eastAsiaTheme="minorEastAsia"/>
        </w:rPr>
        <w:t>3)顾客及供应商利益的保护：公司以“更多安全、更多保障、更多幸福”为核心价值观，推动顾客满意度的不断提升；以产品创新和管理创新为保障，实现了体系支撑能力的逐步提升。多年来公开、公正地选择、评价供应商，切实开展效能、过程监督，对主要供应商积极提供信息数据和工作支持，与各供应商建立良好的合作伙伴关系，实现合作共赢。</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4)其他相关利益的保护：公司依法纳税，积极投身社会公益事业，获得了政府、金融机构和广大社会大众的良好信誉和口碑。</w:t>
      </w:r>
    </w:p>
    <w:p>
      <w:pPr>
        <w:autoSpaceDE w:val="0"/>
        <w:autoSpaceDN w:val="0"/>
        <w:adjustRightInd w:val="0"/>
        <w:spacing w:line="360" w:lineRule="auto"/>
        <w:jc w:val="left"/>
        <w:rPr>
          <w:rFonts w:ascii="宋体" w:cs="宋体"/>
          <w:color w:val="000000"/>
          <w:kern w:val="0"/>
          <w:sz w:val="24"/>
          <w:szCs w:val="24"/>
        </w:rPr>
      </w:pPr>
      <w:r>
        <w:rPr>
          <w:rFonts w:cs="Calibri"/>
          <w:color w:val="000000"/>
          <w:kern w:val="0"/>
          <w:sz w:val="24"/>
          <w:szCs w:val="24"/>
        </w:rPr>
        <w:t>2</w:t>
      </w:r>
      <w:r>
        <w:rPr>
          <w:rFonts w:hint="eastAsia" w:ascii="宋体" w:cs="宋体"/>
          <w:color w:val="000000"/>
          <w:kern w:val="0"/>
          <w:sz w:val="24"/>
          <w:szCs w:val="24"/>
        </w:rPr>
        <w:t>、对高层领导开展定期绩效评价，实现公司领导系统的持续改善</w:t>
      </w:r>
      <w:r>
        <w:rPr>
          <w:rFonts w:ascii="宋体" w:cs="宋体"/>
          <w:color w:val="000000"/>
          <w:kern w:val="0"/>
          <w:sz w:val="24"/>
          <w:szCs w:val="24"/>
        </w:rPr>
        <w:t xml:space="preserve"> </w:t>
      </w:r>
    </w:p>
    <w:p>
      <w:pPr>
        <w:autoSpaceDE w:val="0"/>
        <w:autoSpaceDN w:val="0"/>
        <w:adjustRightInd w:val="0"/>
        <w:spacing w:line="360" w:lineRule="auto"/>
        <w:jc w:val="left"/>
        <w:rPr>
          <w:rFonts w:ascii="宋体" w:cs="宋体"/>
          <w:color w:val="000000"/>
          <w:kern w:val="0"/>
          <w:sz w:val="24"/>
          <w:szCs w:val="24"/>
        </w:rPr>
      </w:pPr>
      <w:r>
        <w:rPr>
          <w:rFonts w:hint="eastAsia" w:ascii="宋体" w:cs="宋体"/>
          <w:color w:val="000000"/>
          <w:kern w:val="0"/>
          <w:sz w:val="24"/>
          <w:szCs w:val="24"/>
        </w:rPr>
        <w:t>（</w:t>
      </w:r>
      <w:r>
        <w:rPr>
          <w:rFonts w:ascii="宋体" w:cs="宋体"/>
          <w:color w:val="000000"/>
          <w:kern w:val="0"/>
          <w:sz w:val="24"/>
          <w:szCs w:val="24"/>
        </w:rPr>
        <w:t>1</w:t>
      </w:r>
      <w:r>
        <w:rPr>
          <w:rFonts w:hint="eastAsia" w:ascii="宋体" w:cs="宋体"/>
          <w:color w:val="000000"/>
          <w:kern w:val="0"/>
          <w:sz w:val="24"/>
          <w:szCs w:val="24"/>
        </w:rPr>
        <w:t>） 对高层领导绩效的评价体系</w:t>
      </w:r>
      <w:r>
        <w:rPr>
          <w:rFonts w:ascii="宋体" w:cs="宋体"/>
          <w:color w:val="000000"/>
          <w:kern w:val="0"/>
          <w:sz w:val="24"/>
          <w:szCs w:val="24"/>
        </w:rPr>
        <w:t xml:space="preserve"> </w:t>
      </w:r>
    </w:p>
    <w:p>
      <w:pPr>
        <w:autoSpaceDE w:val="0"/>
        <w:autoSpaceDN w:val="0"/>
        <w:adjustRightInd w:val="0"/>
        <w:spacing w:line="360" w:lineRule="auto"/>
        <w:jc w:val="left"/>
        <w:rPr>
          <w:rFonts w:ascii="宋体" w:cs="宋体"/>
          <w:color w:val="000000"/>
          <w:kern w:val="0"/>
          <w:sz w:val="24"/>
          <w:szCs w:val="24"/>
        </w:rPr>
      </w:pPr>
      <w:r>
        <w:rPr>
          <w:rFonts w:hint="eastAsia" w:ascii="宋体" w:cs="宋体"/>
          <w:color w:val="000000"/>
          <w:kern w:val="0"/>
          <w:sz w:val="24"/>
          <w:szCs w:val="24"/>
        </w:rPr>
        <w:t>公司委托第三方每年依据下达的经营计划和KPI考核表，对公司高层领导总经理进行绩效考核和评价，评价方式主要采取高层领导述职和评价。评价维度包括战略目标完成情况、经营绩效、公司管理提升和团队培养等。绩效评价的结果决定高层领导的薪酬奖金、职务升迁。副总经理以下的中层领导由公司高层依据年度</w:t>
      </w:r>
      <w:r>
        <w:rPr>
          <w:rFonts w:ascii="宋体" w:cs="宋体"/>
          <w:color w:val="000000"/>
          <w:kern w:val="0"/>
          <w:sz w:val="24"/>
          <w:szCs w:val="24"/>
        </w:rPr>
        <w:t>KPI</w:t>
      </w:r>
      <w:r>
        <w:rPr>
          <w:rFonts w:hint="eastAsia" w:ascii="宋体" w:cs="宋体"/>
          <w:color w:val="000000"/>
          <w:kern w:val="0"/>
          <w:sz w:val="24"/>
          <w:szCs w:val="24"/>
        </w:rPr>
        <w:t>指标进行评价考核。</w:t>
      </w:r>
    </w:p>
    <w:p>
      <w:pPr>
        <w:autoSpaceDE w:val="0"/>
        <w:autoSpaceDN w:val="0"/>
        <w:adjustRightInd w:val="0"/>
        <w:spacing w:line="360" w:lineRule="auto"/>
        <w:jc w:val="left"/>
        <w:rPr>
          <w:rFonts w:ascii="宋体" w:cs="宋体"/>
          <w:color w:val="000000"/>
          <w:kern w:val="0"/>
          <w:sz w:val="24"/>
          <w:szCs w:val="24"/>
        </w:rPr>
      </w:pPr>
      <w:r>
        <w:rPr>
          <w:rFonts w:ascii="宋体" w:cs="宋体"/>
          <w:color w:val="000000"/>
          <w:kern w:val="0"/>
          <w:sz w:val="24"/>
          <w:szCs w:val="24"/>
        </w:rPr>
        <w:t xml:space="preserve"> </w:t>
      </w:r>
      <w:r>
        <w:rPr>
          <w:rFonts w:hint="eastAsia" w:ascii="宋体" w:cs="宋体"/>
          <w:color w:val="000000"/>
          <w:kern w:val="0"/>
          <w:sz w:val="24"/>
          <w:szCs w:val="24"/>
        </w:rPr>
        <w:t>（</w:t>
      </w:r>
      <w:r>
        <w:rPr>
          <w:rFonts w:ascii="宋体" w:cs="宋体"/>
          <w:color w:val="000000"/>
          <w:kern w:val="0"/>
          <w:sz w:val="24"/>
          <w:szCs w:val="24"/>
        </w:rPr>
        <w:t>2</w:t>
      </w:r>
      <w:r>
        <w:rPr>
          <w:rFonts w:hint="eastAsia" w:ascii="宋体" w:cs="宋体"/>
          <w:color w:val="000000"/>
          <w:kern w:val="0"/>
          <w:sz w:val="24"/>
          <w:szCs w:val="24"/>
        </w:rPr>
        <w:t>） 运用绩效评价结果改进领导系统效率</w:t>
      </w:r>
      <w:r>
        <w:rPr>
          <w:rFonts w:ascii="宋体" w:cs="宋体"/>
          <w:color w:val="000000"/>
          <w:kern w:val="0"/>
          <w:sz w:val="24"/>
          <w:szCs w:val="24"/>
        </w:rPr>
        <w:t xml:space="preserve"> </w:t>
      </w:r>
    </w:p>
    <w:p>
      <w:pPr>
        <w:autoSpaceDE w:val="0"/>
        <w:autoSpaceDN w:val="0"/>
        <w:adjustRightInd w:val="0"/>
        <w:spacing w:line="360" w:lineRule="auto"/>
        <w:jc w:val="left"/>
        <w:rPr>
          <w:rFonts w:ascii="宋体" w:cs="宋体"/>
          <w:color w:val="000000"/>
          <w:kern w:val="0"/>
          <w:sz w:val="24"/>
          <w:szCs w:val="24"/>
        </w:rPr>
      </w:pPr>
      <w:r>
        <w:rPr>
          <w:rFonts w:hint="eastAsia" w:ascii="宋体" w:cs="宋体"/>
          <w:color w:val="000000"/>
          <w:kern w:val="0"/>
          <w:sz w:val="24"/>
          <w:szCs w:val="24"/>
        </w:rPr>
        <w:t>根据绩效评价的结果，公司高层展开原因分析，设定改进行动计划。对于高层领导和领导班子存在的不足，公司会根据知识结构不完善，团队执行力缺乏、工作激情不足等不同原因分类，通过加强培训、调整领导团队等方法加以改进，以保证领导系统的有效性。</w:t>
      </w:r>
      <w:r>
        <w:rPr>
          <w:rFonts w:ascii="宋体" w:cs="宋体"/>
          <w:color w:val="000000"/>
          <w:kern w:val="0"/>
          <w:sz w:val="24"/>
          <w:szCs w:val="24"/>
        </w:rPr>
        <w:t xml:space="preserve"> </w:t>
      </w:r>
    </w:p>
    <w:p>
      <w:pPr>
        <w:autoSpaceDE w:val="0"/>
        <w:autoSpaceDN w:val="0"/>
        <w:adjustRightInd w:val="0"/>
        <w:spacing w:line="360" w:lineRule="auto"/>
        <w:jc w:val="left"/>
        <w:rPr>
          <w:rFonts w:cs="Calibri"/>
          <w:color w:val="000000"/>
          <w:kern w:val="0"/>
          <w:sz w:val="24"/>
          <w:szCs w:val="24"/>
        </w:rPr>
      </w:pPr>
      <w:r>
        <w:rPr>
          <w:rFonts w:hint="eastAsia" w:cs="Calibri"/>
          <w:color w:val="000000"/>
          <w:kern w:val="0"/>
          <w:sz w:val="24"/>
          <w:szCs w:val="24"/>
        </w:rPr>
        <w:t>3、 审计体系</w:t>
      </w:r>
    </w:p>
    <w:p>
      <w:pPr>
        <w:autoSpaceDE w:val="0"/>
        <w:autoSpaceDN w:val="0"/>
        <w:adjustRightInd w:val="0"/>
        <w:spacing w:line="360" w:lineRule="auto"/>
        <w:jc w:val="left"/>
        <w:rPr>
          <w:rFonts w:ascii="宋体" w:cs="宋体"/>
          <w:color w:val="000000"/>
          <w:kern w:val="0"/>
          <w:sz w:val="24"/>
          <w:szCs w:val="24"/>
        </w:rPr>
      </w:pPr>
      <w:r>
        <w:rPr>
          <w:rFonts w:cs="Calibri"/>
          <w:color w:val="000000"/>
          <w:kern w:val="0"/>
          <w:sz w:val="24"/>
          <w:szCs w:val="24"/>
        </w:rPr>
        <w:t>（1</w:t>
      </w:r>
      <w:r>
        <w:rPr>
          <w:rFonts w:hint="eastAsia" w:ascii="宋体" w:cs="宋体"/>
          <w:color w:val="000000"/>
          <w:kern w:val="0"/>
          <w:sz w:val="24"/>
          <w:szCs w:val="24"/>
        </w:rPr>
        <w:t>） 公司内审机制；</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公司委托第三方定期组织实施内部监督，对公司经营管理进行系统化、规范化的审计；并不定期的对资金、采购、费用、合同等经营管理事项进行专项审计，审计负责人直接向公司委托第三方负责，确保了审计人员的独立性和审计结果的客观性，对发现问题下达整改建议，并跟踪检查。通过内审制度的有效执行，公司管理日趋规范，各类经营风险得到有效控制。</w:t>
      </w:r>
    </w:p>
    <w:p>
      <w:pPr>
        <w:autoSpaceDE w:val="0"/>
        <w:autoSpaceDN w:val="0"/>
        <w:adjustRightInd w:val="0"/>
        <w:spacing w:line="360" w:lineRule="auto"/>
        <w:jc w:val="left"/>
        <w:rPr>
          <w:rFonts w:ascii="宋体" w:cs="宋体"/>
          <w:color w:val="000000"/>
          <w:kern w:val="0"/>
          <w:sz w:val="24"/>
          <w:szCs w:val="24"/>
        </w:rPr>
      </w:pPr>
      <w:r>
        <w:rPr>
          <w:rFonts w:cs="Calibri"/>
          <w:color w:val="000000"/>
          <w:kern w:val="0"/>
          <w:sz w:val="24"/>
          <w:szCs w:val="24"/>
        </w:rPr>
        <w:t>（2）</w:t>
      </w:r>
      <w:r>
        <w:rPr>
          <w:rFonts w:hint="eastAsia" w:ascii="宋体" w:cs="宋体"/>
          <w:color w:val="000000"/>
          <w:kern w:val="0"/>
          <w:sz w:val="24"/>
          <w:szCs w:val="24"/>
        </w:rPr>
        <w:t>独立外部审计机构年度审计</w:t>
      </w:r>
    </w:p>
    <w:p>
      <w:pPr>
        <w:autoSpaceDE w:val="0"/>
        <w:autoSpaceDN w:val="0"/>
        <w:adjustRightInd w:val="0"/>
        <w:spacing w:line="360" w:lineRule="auto"/>
        <w:ind w:firstLine="480" w:firstLineChars="200"/>
        <w:jc w:val="left"/>
        <w:rPr>
          <w:rFonts w:ascii="宋体" w:cs="Times New Roman"/>
          <w:b/>
          <w:sz w:val="24"/>
          <w:szCs w:val="24"/>
        </w:rPr>
      </w:pPr>
      <w:r>
        <w:rPr>
          <w:rFonts w:hint="eastAsia" w:ascii="宋体" w:cs="宋体"/>
          <w:color w:val="000000"/>
          <w:kern w:val="0"/>
          <w:sz w:val="24"/>
          <w:szCs w:val="24"/>
        </w:rPr>
        <w:t>公司</w:t>
      </w:r>
      <w:r>
        <w:rPr>
          <w:rFonts w:hint="eastAsia" w:ascii="宋体" w:cs="宋体"/>
          <w:sz w:val="24"/>
          <w:szCs w:val="24"/>
        </w:rPr>
        <w:t>委托第三方</w:t>
      </w:r>
      <w:r>
        <w:rPr>
          <w:rFonts w:ascii="宋体" w:cs="宋体"/>
          <w:sz w:val="24"/>
          <w:szCs w:val="24"/>
        </w:rPr>
        <w:t>会计师事务所</w:t>
      </w:r>
      <w:r>
        <w:rPr>
          <w:rFonts w:hint="eastAsia" w:ascii="宋体" w:cs="宋体"/>
          <w:sz w:val="24"/>
          <w:szCs w:val="24"/>
        </w:rPr>
        <w:t>对本公司进行财务审计。</w:t>
      </w:r>
      <w:r>
        <w:rPr>
          <w:rFonts w:hint="eastAsia" w:ascii="宋体" w:cs="宋体"/>
          <w:color w:val="000000"/>
          <w:kern w:val="0"/>
          <w:sz w:val="24"/>
          <w:szCs w:val="24"/>
        </w:rPr>
        <w:t>财务审计机构都具备相应资质，具有相关专业的履职能力，与公司无关联利益，公司对审计机构提出的审计意见酌情采纳，近年来审计结果显示，公司财务管理符合相关方要求。</w:t>
      </w:r>
    </w:p>
    <w:bookmarkEnd w:id="0"/>
    <w:bookmarkEnd w:id="1"/>
    <w:p>
      <w:pPr>
        <w:spacing w:beforeLines="50" w:afterLines="50"/>
        <w:outlineLvl w:val="1"/>
        <w:rPr>
          <w:rFonts w:ascii="宋体" w:cs="宋体"/>
          <w:b/>
          <w:sz w:val="23"/>
          <w:szCs w:val="23"/>
        </w:rPr>
      </w:pPr>
      <w:bookmarkStart w:id="2" w:name="_Toc451610985"/>
      <w:bookmarkStart w:id="3" w:name="_Toc451610892"/>
      <w:r>
        <w:rPr>
          <w:rFonts w:hint="eastAsia" w:ascii="宋体" w:cs="宋体"/>
          <w:b/>
          <w:sz w:val="23"/>
          <w:szCs w:val="23"/>
        </w:rPr>
        <w:t>（二）人权和职工保护</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公司</w:t>
      </w:r>
      <w:r>
        <w:rPr>
          <w:rFonts w:ascii="宋体" w:cs="宋体"/>
          <w:color w:val="000000"/>
          <w:kern w:val="0"/>
          <w:sz w:val="24"/>
          <w:szCs w:val="24"/>
        </w:rPr>
        <w:t>自成立以来严格遵守《中华人民共和国劳动法》、《中华人民共和国劳动合同法》等劳动和社会保障</w:t>
      </w:r>
      <w:r>
        <w:rPr>
          <w:rFonts w:hint="eastAsia" w:ascii="宋体" w:cs="宋体"/>
          <w:color w:val="000000"/>
          <w:kern w:val="0"/>
          <w:sz w:val="24"/>
          <w:szCs w:val="24"/>
        </w:rPr>
        <w:t>方面</w:t>
      </w:r>
      <w:r>
        <w:rPr>
          <w:rFonts w:ascii="宋体" w:cs="宋体"/>
          <w:color w:val="000000"/>
          <w:kern w:val="0"/>
          <w:sz w:val="24"/>
          <w:szCs w:val="24"/>
        </w:rPr>
        <w:t>的法律、法规和规章</w:t>
      </w:r>
      <w:r>
        <w:rPr>
          <w:rFonts w:hint="eastAsia" w:ascii="宋体" w:cs="宋体"/>
          <w:color w:val="000000"/>
          <w:kern w:val="0"/>
          <w:sz w:val="24"/>
          <w:szCs w:val="24"/>
        </w:rPr>
        <w:t>。</w:t>
      </w:r>
      <w:r>
        <w:rPr>
          <w:rFonts w:ascii="宋体" w:cs="宋体"/>
          <w:color w:val="000000"/>
          <w:kern w:val="0"/>
          <w:sz w:val="24"/>
          <w:szCs w:val="24"/>
        </w:rPr>
        <w:t>实行劳动合同制，与</w:t>
      </w:r>
      <w:r>
        <w:rPr>
          <w:rFonts w:hint="eastAsia" w:ascii="宋体" w:cs="宋体"/>
          <w:color w:val="000000"/>
          <w:kern w:val="0"/>
          <w:sz w:val="24"/>
          <w:szCs w:val="24"/>
        </w:rPr>
        <w:t>所有员工</w:t>
      </w:r>
      <w:r>
        <w:rPr>
          <w:rFonts w:ascii="宋体" w:cs="宋体"/>
          <w:color w:val="000000"/>
          <w:kern w:val="0"/>
          <w:sz w:val="24"/>
          <w:szCs w:val="24"/>
        </w:rPr>
        <w:t>按照《劳动合同法》的有关规定签订了《劳动合同》，并为员工提供了社会保障计划。目前，公司已根据国家及地方的有关规定，为员工缴纳了养老保险金、工伤保险金、医疗保险金、失业保</w:t>
      </w:r>
      <w:r>
        <w:rPr>
          <w:rFonts w:hint="eastAsia" w:ascii="宋体" w:cs="宋体"/>
          <w:color w:val="000000"/>
          <w:kern w:val="0"/>
          <w:sz w:val="24"/>
          <w:szCs w:val="24"/>
        </w:rPr>
        <w:t>险</w:t>
      </w:r>
      <w:r>
        <w:rPr>
          <w:rFonts w:ascii="宋体" w:cs="宋体"/>
          <w:color w:val="000000"/>
          <w:kern w:val="0"/>
          <w:sz w:val="24"/>
          <w:szCs w:val="24"/>
        </w:rPr>
        <w:t>金、生育保险金和住房公积金。</w:t>
      </w:r>
      <w:r>
        <w:rPr>
          <w:rFonts w:hint="eastAsia" w:ascii="宋体" w:cs="宋体"/>
          <w:color w:val="000000"/>
          <w:kern w:val="0"/>
          <w:sz w:val="24"/>
          <w:szCs w:val="24"/>
        </w:rPr>
        <w:t>员工可享受法定休假、婚假、丧假、产假等带薪假期。公司</w:t>
      </w:r>
      <w:r>
        <w:rPr>
          <w:rFonts w:ascii="宋体" w:cs="宋体"/>
          <w:color w:val="000000"/>
          <w:kern w:val="0"/>
          <w:sz w:val="24"/>
          <w:szCs w:val="24"/>
        </w:rPr>
        <w:t>社会保险覆盖面为</w:t>
      </w:r>
      <w:r>
        <w:rPr>
          <w:rFonts w:hint="eastAsia" w:ascii="宋体" w:cs="宋体"/>
          <w:color w:val="000000"/>
          <w:kern w:val="0"/>
          <w:sz w:val="24"/>
          <w:szCs w:val="24"/>
        </w:rPr>
        <w:t>100</w:t>
      </w:r>
      <w:r>
        <w:rPr>
          <w:rFonts w:ascii="宋体" w:cs="宋体"/>
          <w:color w:val="000000"/>
          <w:kern w:val="0"/>
          <w:sz w:val="24"/>
          <w:szCs w:val="24"/>
        </w:rPr>
        <w:t>%，劳动合同</w:t>
      </w:r>
      <w:r>
        <w:rPr>
          <w:rFonts w:hint="eastAsia" w:ascii="宋体" w:cs="宋体"/>
          <w:color w:val="000000"/>
          <w:kern w:val="0"/>
          <w:sz w:val="24"/>
          <w:szCs w:val="24"/>
        </w:rPr>
        <w:t>签订</w:t>
      </w:r>
      <w:r>
        <w:rPr>
          <w:rFonts w:ascii="宋体" w:cs="宋体"/>
          <w:color w:val="000000"/>
          <w:kern w:val="0"/>
          <w:sz w:val="24"/>
          <w:szCs w:val="24"/>
        </w:rPr>
        <w:t>率为</w:t>
      </w:r>
      <w:r>
        <w:rPr>
          <w:rFonts w:hint="eastAsia" w:ascii="宋体" w:cs="宋体"/>
          <w:color w:val="000000"/>
          <w:kern w:val="0"/>
          <w:sz w:val="24"/>
          <w:szCs w:val="24"/>
        </w:rPr>
        <w:t>100</w:t>
      </w:r>
      <w:r>
        <w:rPr>
          <w:rFonts w:ascii="宋体" w:cs="宋体"/>
          <w:color w:val="000000"/>
          <w:kern w:val="0"/>
          <w:sz w:val="24"/>
          <w:szCs w:val="24"/>
        </w:rPr>
        <w:t>%。</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公司</w:t>
      </w:r>
      <w:r>
        <w:rPr>
          <w:rFonts w:ascii="宋体" w:cs="宋体"/>
          <w:color w:val="000000"/>
          <w:kern w:val="0"/>
          <w:sz w:val="24"/>
          <w:szCs w:val="24"/>
        </w:rPr>
        <w:t>不断完善员工反映问题和</w:t>
      </w:r>
      <w:r>
        <w:rPr>
          <w:rFonts w:hint="eastAsia" w:ascii="宋体" w:cs="宋体"/>
          <w:color w:val="000000"/>
          <w:kern w:val="0"/>
          <w:sz w:val="24"/>
          <w:szCs w:val="24"/>
        </w:rPr>
        <w:t>诉求</w:t>
      </w:r>
      <w:r>
        <w:rPr>
          <w:rFonts w:ascii="宋体" w:cs="宋体"/>
          <w:color w:val="000000"/>
          <w:kern w:val="0"/>
          <w:sz w:val="24"/>
          <w:szCs w:val="24"/>
        </w:rPr>
        <w:t>的渠道及处理机制</w:t>
      </w:r>
      <w:r>
        <w:rPr>
          <w:rFonts w:hint="eastAsia" w:ascii="宋体" w:cs="宋体"/>
          <w:color w:val="000000"/>
          <w:kern w:val="0"/>
          <w:sz w:val="24"/>
          <w:szCs w:val="24"/>
        </w:rPr>
        <w:t>。员工可</w:t>
      </w:r>
      <w:r>
        <w:rPr>
          <w:rFonts w:ascii="宋体" w:cs="宋体"/>
          <w:color w:val="000000"/>
          <w:kern w:val="0"/>
          <w:sz w:val="24"/>
          <w:szCs w:val="24"/>
        </w:rPr>
        <w:t>通过电话、微信</w:t>
      </w:r>
      <w:r>
        <w:rPr>
          <w:rFonts w:hint="eastAsia" w:ascii="宋体" w:cs="宋体"/>
          <w:color w:val="000000"/>
          <w:kern w:val="0"/>
          <w:sz w:val="24"/>
          <w:szCs w:val="24"/>
        </w:rPr>
        <w:t>等</w:t>
      </w:r>
      <w:r>
        <w:rPr>
          <w:rFonts w:ascii="宋体" w:cs="宋体"/>
          <w:color w:val="000000"/>
          <w:kern w:val="0"/>
          <w:sz w:val="24"/>
          <w:szCs w:val="24"/>
        </w:rPr>
        <w:t>渠道，反映</w:t>
      </w:r>
      <w:r>
        <w:rPr>
          <w:rFonts w:hint="eastAsia" w:ascii="宋体" w:cs="宋体"/>
          <w:color w:val="000000"/>
          <w:kern w:val="0"/>
          <w:sz w:val="24"/>
          <w:szCs w:val="24"/>
        </w:rPr>
        <w:t>他们</w:t>
      </w:r>
      <w:r>
        <w:rPr>
          <w:rFonts w:ascii="宋体" w:cs="宋体"/>
          <w:color w:val="000000"/>
          <w:kern w:val="0"/>
          <w:sz w:val="24"/>
          <w:szCs w:val="24"/>
        </w:rPr>
        <w:t>遇到或可能发生的问题。公司</w:t>
      </w:r>
      <w:r>
        <w:rPr>
          <w:rFonts w:hint="eastAsia" w:ascii="宋体" w:cs="宋体"/>
          <w:color w:val="000000"/>
          <w:kern w:val="0"/>
          <w:sz w:val="24"/>
          <w:szCs w:val="24"/>
        </w:rPr>
        <w:t>高度</w:t>
      </w:r>
      <w:r>
        <w:rPr>
          <w:rFonts w:ascii="宋体" w:cs="宋体"/>
          <w:color w:val="000000"/>
          <w:kern w:val="0"/>
          <w:sz w:val="24"/>
          <w:szCs w:val="24"/>
        </w:rPr>
        <w:t>重视员工申述</w:t>
      </w:r>
      <w:r>
        <w:rPr>
          <w:rFonts w:hint="eastAsia" w:ascii="宋体" w:cs="宋体"/>
          <w:color w:val="000000"/>
          <w:kern w:val="0"/>
          <w:sz w:val="24"/>
          <w:szCs w:val="24"/>
        </w:rPr>
        <w:t>事件</w:t>
      </w:r>
      <w:r>
        <w:rPr>
          <w:rFonts w:ascii="宋体" w:cs="宋体"/>
          <w:color w:val="000000"/>
          <w:kern w:val="0"/>
          <w:sz w:val="24"/>
          <w:szCs w:val="24"/>
        </w:rPr>
        <w:t>，保证处理程序正当、依据明确</w:t>
      </w:r>
      <w:r>
        <w:rPr>
          <w:rFonts w:hint="eastAsia" w:ascii="宋体" w:cs="宋体"/>
          <w:color w:val="000000"/>
          <w:kern w:val="0"/>
          <w:sz w:val="24"/>
          <w:szCs w:val="24"/>
        </w:rPr>
        <w:t>、</w:t>
      </w:r>
      <w:r>
        <w:rPr>
          <w:rFonts w:ascii="宋体" w:cs="宋体"/>
          <w:color w:val="000000"/>
          <w:kern w:val="0"/>
          <w:sz w:val="24"/>
          <w:szCs w:val="24"/>
        </w:rPr>
        <w:t>结果恰当，保障了员工的合法权益。</w:t>
      </w:r>
      <w:r>
        <w:rPr>
          <w:rFonts w:hint="eastAsia" w:ascii="宋体" w:cs="宋体"/>
          <w:color w:val="000000"/>
          <w:kern w:val="0"/>
          <w:sz w:val="24"/>
          <w:szCs w:val="24"/>
        </w:rPr>
        <w:t xml:space="preserve">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公司通过各种方式，如</w:t>
      </w:r>
      <w:r>
        <w:rPr>
          <w:rFonts w:hint="eastAsia" w:ascii="宋体" w:cs="宋体"/>
          <w:color w:val="000000"/>
          <w:kern w:val="0"/>
          <w:sz w:val="24"/>
          <w:szCs w:val="24"/>
        </w:rPr>
        <w:t>节庆</w:t>
      </w:r>
      <w:r>
        <w:rPr>
          <w:rFonts w:ascii="宋体" w:cs="宋体"/>
          <w:color w:val="000000"/>
          <w:kern w:val="0"/>
          <w:sz w:val="24"/>
          <w:szCs w:val="24"/>
        </w:rPr>
        <w:t>文体活动等，丰富员工的工作和业余生活，构造和谐工作环境，激发员工爱心、积极性和创造性，促进公司和谐发展。</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ascii="宋体" w:hAnsi="宋体" w:cs="宋体"/>
          <w:color w:val="000000"/>
          <w:kern w:val="0"/>
          <w:sz w:val="24"/>
          <w:szCs w:val="24"/>
        </w:rPr>
        <w:t>公司高层领导通过短信/微信平台、合理化建议、员工满意度调查、员工座谈会、下基层参加部门例会等形式，调查、了解员工意见和建议，获取员工满意度信息。</w:t>
      </w:r>
      <w:r>
        <w:rPr>
          <w:rFonts w:hint="eastAsia" w:ascii="宋体" w:hAnsi="宋体" w:cs="宋体"/>
          <w:color w:val="000000"/>
          <w:kern w:val="0"/>
          <w:sz w:val="24"/>
          <w:szCs w:val="24"/>
        </w:rPr>
        <w:t>相关投诉和建议</w:t>
      </w:r>
      <w:r>
        <w:rPr>
          <w:rFonts w:ascii="宋体" w:hAnsi="宋体" w:cs="宋体"/>
          <w:color w:val="000000"/>
          <w:kern w:val="0"/>
          <w:sz w:val="24"/>
          <w:szCs w:val="24"/>
        </w:rPr>
        <w:t>问题由</w:t>
      </w:r>
      <w:r>
        <w:rPr>
          <w:rFonts w:hint="eastAsia" w:ascii="宋体" w:hAnsi="宋体" w:cs="宋体"/>
          <w:color w:val="000000"/>
          <w:kern w:val="0"/>
          <w:sz w:val="24"/>
          <w:szCs w:val="24"/>
        </w:rPr>
        <w:t>人力资源</w:t>
      </w:r>
      <w:r>
        <w:rPr>
          <w:rFonts w:ascii="宋体" w:hAnsi="宋体" w:cs="宋体"/>
          <w:color w:val="000000"/>
          <w:kern w:val="0"/>
          <w:sz w:val="24"/>
          <w:szCs w:val="24"/>
        </w:rPr>
        <w:t>部负责跟踪督办，要求各相关职能部门在规定时间内进行处理。高层领导注重现场了解情况并在承诺时间内及时做出积极的反馈和处理。</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公司已建立职业健康安全管理体系相关的手册和程序文件，在对危险源识别、评价和控制策划，职业健康安全管理目标策划，事件调查和处理，职业健康安全绩效评价等方面，充分保障了员工参与和协商的权利。</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公司定期组织实施工作场所职业危害因素检测和职业病定期检测。公司全面实施了三级安全教育，定期实施环境和安全应急响应演练，设立了职业健康安全文化宣传栏，培育公司职业健康安全管理文化。</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公司自成立以来没有发生职业病伤害情况和严重安全生产事故。</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公司根据岗位所要求的知识、经验、技能等情况，向员工提供同行业具有竞争力的薪酬福利。公司薪酬福利政策遵循</w:t>
      </w:r>
      <w:r>
        <w:rPr>
          <w:rFonts w:ascii="宋体" w:hAnsi="宋体" w:cs="宋体"/>
          <w:color w:val="000000"/>
          <w:kern w:val="0"/>
          <w:sz w:val="24"/>
          <w:szCs w:val="24"/>
        </w:rPr>
        <w:t>“</w:t>
      </w:r>
      <w:r>
        <w:rPr>
          <w:rFonts w:hint="eastAsia" w:ascii="宋体" w:hAnsi="宋体" w:cs="宋体"/>
          <w:color w:val="000000"/>
          <w:kern w:val="0"/>
          <w:sz w:val="24"/>
          <w:szCs w:val="24"/>
        </w:rPr>
        <w:t>内部公平性、外部竞争性</w:t>
      </w:r>
      <w:r>
        <w:rPr>
          <w:rFonts w:ascii="宋体" w:hAnsi="宋体" w:cs="宋体"/>
          <w:color w:val="000000"/>
          <w:kern w:val="0"/>
          <w:sz w:val="24"/>
          <w:szCs w:val="24"/>
        </w:rPr>
        <w:t>”</w:t>
      </w:r>
      <w:r>
        <w:rPr>
          <w:rFonts w:hint="eastAsia" w:ascii="宋体" w:hAnsi="宋体" w:cs="宋体"/>
          <w:color w:val="000000"/>
          <w:kern w:val="0"/>
          <w:sz w:val="24"/>
          <w:szCs w:val="24"/>
        </w:rPr>
        <w:t>原则。</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w:t>
      </w:r>
      <w:r>
        <w:rPr>
          <w:rFonts w:ascii="宋体" w:hAnsi="宋体" w:cs="宋体"/>
          <w:color w:val="000000"/>
          <w:kern w:val="0"/>
          <w:sz w:val="24"/>
          <w:szCs w:val="24"/>
        </w:rPr>
        <w:t xml:space="preserve"> </w:t>
      </w:r>
      <w:r>
        <w:rPr>
          <w:rFonts w:hint="eastAsia" w:ascii="宋体" w:hAnsi="宋体" w:cs="宋体"/>
          <w:color w:val="000000"/>
          <w:kern w:val="0"/>
          <w:sz w:val="24"/>
          <w:szCs w:val="24"/>
        </w:rPr>
        <w:t>基本工资：根据员工岗位的贡献度、对组织的影响力、对知识要求以及工作环境危险性、市场水平等因素来综合确定，体现对员工基本价值、工作表现及贡献的认同。</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w:t>
      </w:r>
      <w:r>
        <w:rPr>
          <w:rFonts w:ascii="宋体" w:hAnsi="宋体" w:cs="宋体"/>
          <w:color w:val="000000"/>
          <w:kern w:val="0"/>
          <w:sz w:val="24"/>
          <w:szCs w:val="24"/>
        </w:rPr>
        <w:t xml:space="preserve"> </w:t>
      </w:r>
      <w:r>
        <w:rPr>
          <w:rFonts w:hint="eastAsia" w:ascii="宋体" w:hAnsi="宋体" w:cs="宋体"/>
          <w:color w:val="000000"/>
          <w:kern w:val="0"/>
          <w:sz w:val="24"/>
          <w:szCs w:val="24"/>
        </w:rPr>
        <w:t>奖金：创造高绩效文化，将绩效和奖金相结合，有效保留和激励员工。奖金是对高绩效员工的额外奖励，根据个人和组织业绩综合评定。</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r>
        <w:rPr>
          <w:rFonts w:ascii="宋体" w:hAnsi="宋体" w:cs="宋体"/>
          <w:color w:val="000000"/>
          <w:kern w:val="0"/>
          <w:sz w:val="24"/>
          <w:szCs w:val="24"/>
        </w:rPr>
        <w:t xml:space="preserve"> </w:t>
      </w:r>
      <w:r>
        <w:rPr>
          <w:rFonts w:hint="eastAsia" w:ascii="宋体" w:hAnsi="宋体" w:cs="宋体"/>
          <w:color w:val="000000"/>
          <w:kern w:val="0"/>
          <w:sz w:val="24"/>
          <w:szCs w:val="24"/>
        </w:rPr>
        <w:t>福利：福利是薪酬体系重要组成部分，是对员工生活的保障。包含：员工宿舍、各类补贴（工龄补贴、通讯补贴等）、</w:t>
      </w:r>
      <w:r>
        <w:rPr>
          <w:rFonts w:ascii="宋体" w:hAnsi="宋体" w:cs="宋体"/>
          <w:color w:val="000000"/>
          <w:kern w:val="0"/>
          <w:sz w:val="24"/>
          <w:szCs w:val="24"/>
        </w:rPr>
        <w:t>“</w:t>
      </w:r>
      <w:r>
        <w:rPr>
          <w:rFonts w:hint="eastAsia" w:ascii="宋体" w:hAnsi="宋体" w:cs="宋体"/>
          <w:color w:val="000000"/>
          <w:kern w:val="0"/>
          <w:sz w:val="24"/>
          <w:szCs w:val="24"/>
        </w:rPr>
        <w:t>五险</w:t>
      </w:r>
      <w:r>
        <w:rPr>
          <w:rFonts w:ascii="宋体" w:hAnsi="宋体" w:cs="宋体"/>
          <w:color w:val="000000"/>
          <w:kern w:val="0"/>
          <w:sz w:val="24"/>
          <w:szCs w:val="24"/>
        </w:rPr>
        <w:t>”</w:t>
      </w:r>
      <w:r>
        <w:rPr>
          <w:rFonts w:hint="eastAsia" w:ascii="宋体" w:hAnsi="宋体" w:cs="宋体"/>
          <w:color w:val="000000"/>
          <w:kern w:val="0"/>
          <w:sz w:val="24"/>
          <w:szCs w:val="24"/>
        </w:rPr>
        <w:t>（养老保险、医疗保险、失业保险、生育保险、工伤保险）、员工活动经费等。</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sz w:val="24"/>
          <w:szCs w:val="24"/>
        </w:rPr>
        <w:t>公司制定了《人力资源管理制度》、《员工手册》等文件，建立多元化的员工关爱机制，完善核心人才保留机制，设立“优秀员工”评选方案，充分发挥典型示范作用，持续提升员工满意度。</w:t>
      </w:r>
    </w:p>
    <w:p>
      <w:pPr>
        <w:autoSpaceDE w:val="0"/>
        <w:autoSpaceDN w:val="0"/>
        <w:adjustRightIn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公司支持社会就业，并通过建立和不断完善员工招聘培训激励制度，为员工提供了公平的基于绩效的晋升空间和</w:t>
      </w:r>
      <w:r>
        <w:rPr>
          <w:rFonts w:ascii="宋体" w:hAnsi="宋体" w:cs="宋体"/>
          <w:color w:val="000000"/>
          <w:kern w:val="0"/>
          <w:sz w:val="24"/>
          <w:szCs w:val="24"/>
        </w:rPr>
        <w:t>广阔的发展通道</w:t>
      </w:r>
      <w:r>
        <w:rPr>
          <w:rFonts w:hint="eastAsia" w:ascii="宋体" w:hAnsi="宋体" w:cs="宋体"/>
          <w:color w:val="000000"/>
          <w:kern w:val="0"/>
          <w:sz w:val="24"/>
          <w:szCs w:val="24"/>
        </w:rPr>
        <w:t>。</w:t>
      </w:r>
      <w:r>
        <w:rPr>
          <w:rFonts w:ascii="宋体" w:hAnsi="宋体" w:cs="宋体"/>
          <w:color w:val="000000"/>
          <w:kern w:val="0"/>
          <w:sz w:val="24"/>
          <w:szCs w:val="24"/>
        </w:rPr>
        <w:t>从普通员工、技术岗位到管理岗位，给员工清晰的发展通预期，</w:t>
      </w:r>
      <w:r>
        <w:rPr>
          <w:rFonts w:hint="eastAsia" w:ascii="宋体" w:hAnsi="宋体" w:cs="宋体"/>
          <w:color w:val="000000"/>
          <w:kern w:val="0"/>
          <w:sz w:val="24"/>
          <w:szCs w:val="24"/>
        </w:rPr>
        <w:t>促进员工和公司共同成长</w:t>
      </w:r>
      <w:r>
        <w:rPr>
          <w:rFonts w:ascii="宋体" w:hAnsi="宋体" w:cs="宋体"/>
          <w:color w:val="000000"/>
          <w:kern w:val="0"/>
          <w:sz w:val="24"/>
          <w:szCs w:val="24"/>
        </w:rPr>
        <w:t>，帮助员工实现更好发展。</w:t>
      </w:r>
    </w:p>
    <w:p>
      <w:pPr>
        <w:spacing w:beforeLines="50" w:afterLines="50"/>
        <w:outlineLvl w:val="1"/>
        <w:rPr>
          <w:rFonts w:ascii="宋体" w:cs="宋体"/>
          <w:b/>
          <w:sz w:val="23"/>
          <w:szCs w:val="23"/>
        </w:rPr>
      </w:pPr>
      <w:r>
        <w:rPr>
          <w:rFonts w:hint="eastAsia" w:ascii="宋体" w:cs="宋体"/>
          <w:b/>
          <w:sz w:val="23"/>
          <w:szCs w:val="23"/>
        </w:rPr>
        <w:t>（三）环境保护</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公司自成立以来，始终坚持污染预防的环境保护理念，识别和收集有关环境管理的合规义务，遵循《环境空气质量标准》、《地表水环境质量标准》、《污水综合排放标准》、《大气污染综合排放标准》、《城市区域环境噪声标准》等国家法律法规；引入ISO14001环境管理体系，组织集中式和滚动式的内部审核管理，对体系运行情况进行实时监控，保持体系的有效性，推动环保治理工作的持续改进。公司定期组织实施污染物排放监测，公司为处理三废配备了相应的水处理装置、废气处理装置；对于固废由有资质的单位处理。</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公司自成立以来没有发生环境污染事故。</w:t>
      </w:r>
    </w:p>
    <w:p>
      <w:pPr>
        <w:spacing w:beforeLines="50" w:afterLines="50"/>
        <w:outlineLvl w:val="1"/>
        <w:rPr>
          <w:rFonts w:ascii="宋体" w:cs="宋体"/>
          <w:b/>
          <w:sz w:val="23"/>
          <w:szCs w:val="23"/>
        </w:rPr>
      </w:pPr>
      <w:r>
        <w:rPr>
          <w:rFonts w:hint="eastAsia" w:ascii="宋体" w:cs="宋体"/>
          <w:b/>
          <w:sz w:val="23"/>
          <w:szCs w:val="23"/>
        </w:rPr>
        <w:t>（四）公平经营和消费者保护</w:t>
      </w:r>
    </w:p>
    <w:bookmarkEnd w:id="2"/>
    <w:bookmarkEnd w:id="3"/>
    <w:p>
      <w:pPr>
        <w:autoSpaceDE w:val="0"/>
        <w:autoSpaceDN w:val="0"/>
        <w:adjustRightInd w:val="0"/>
        <w:ind w:firstLine="480" w:firstLineChars="200"/>
        <w:jc w:val="left"/>
        <w:rPr>
          <w:rFonts w:hint="eastAsia" w:ascii="&amp;quot" w:hAnsi="&amp;quot" w:cs="宋体"/>
          <w:kern w:val="0"/>
          <w:sz w:val="24"/>
          <w:szCs w:val="24"/>
        </w:rPr>
      </w:pPr>
      <w:r>
        <w:rPr>
          <w:rFonts w:hint="eastAsia" w:ascii="&amp;quot" w:hAnsi="&amp;quot" w:cs="宋体"/>
          <w:kern w:val="0"/>
          <w:sz w:val="24"/>
          <w:szCs w:val="24"/>
        </w:rPr>
        <w:t>（1）诚信营销</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自成立以来，公司坚持</w:t>
      </w:r>
      <w:r>
        <w:rPr>
          <w:rFonts w:ascii="宋体" w:cs="宋体"/>
          <w:b/>
          <w:color w:val="000000"/>
          <w:kern w:val="0"/>
          <w:sz w:val="24"/>
          <w:szCs w:val="24"/>
        </w:rPr>
        <w:t>“</w:t>
      </w:r>
      <w:r>
        <w:rPr>
          <w:rFonts w:hint="eastAsia" w:ascii="宋体" w:cs="宋体"/>
          <w:b/>
          <w:color w:val="000000"/>
          <w:kern w:val="0"/>
          <w:sz w:val="24"/>
          <w:szCs w:val="24"/>
          <w:lang w:eastAsia="zh-CN"/>
        </w:rPr>
        <w:t>创新 务实 高效 共赢</w:t>
      </w:r>
      <w:r>
        <w:rPr>
          <w:rFonts w:ascii="宋体" w:cs="宋体"/>
          <w:color w:val="000000"/>
          <w:kern w:val="0"/>
          <w:sz w:val="24"/>
          <w:szCs w:val="24"/>
        </w:rPr>
        <w:t>”的</w:t>
      </w:r>
      <w:r>
        <w:rPr>
          <w:rFonts w:hint="eastAsia" w:ascii="宋体" w:cs="宋体"/>
          <w:color w:val="000000"/>
          <w:kern w:val="0"/>
          <w:sz w:val="24"/>
          <w:szCs w:val="24"/>
        </w:rPr>
        <w:t>核心价值观</w:t>
      </w:r>
      <w:r>
        <w:rPr>
          <w:rFonts w:ascii="宋体" w:cs="宋体"/>
          <w:color w:val="000000"/>
          <w:kern w:val="0"/>
          <w:sz w:val="24"/>
          <w:szCs w:val="24"/>
        </w:rPr>
        <w:t xml:space="preserve">，生产优质产品，对企业内部员工负责，对消费者负责。在宣传中，公司实事求是，不夸大，不弄虚作假欺诈消费者，在市场上赢得了良好的口碑。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公司意识到，在产品质量就是企业生命的今天，产品质量俨然已成为一个企业在市场中立足的根本和发展的保证。产品质量的优劣决定产品的生命乃至企业的发展命运。没有质量就没有市场，没有质量就没有效益，没有质量就没有发展。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公司在车间</w:t>
      </w:r>
      <w:r>
        <w:rPr>
          <w:rFonts w:hint="eastAsia" w:ascii="宋体" w:cs="宋体"/>
          <w:color w:val="000000"/>
          <w:kern w:val="0"/>
          <w:sz w:val="24"/>
          <w:szCs w:val="24"/>
        </w:rPr>
        <w:t>生产</w:t>
      </w:r>
      <w:r>
        <w:rPr>
          <w:rFonts w:ascii="宋体" w:cs="宋体"/>
          <w:color w:val="000000"/>
          <w:kern w:val="0"/>
          <w:sz w:val="24"/>
          <w:szCs w:val="24"/>
        </w:rPr>
        <w:t>的每个环节都设有质检程序，</w:t>
      </w:r>
      <w:r>
        <w:rPr>
          <w:rFonts w:hint="eastAsia" w:ascii="宋体" w:cs="宋体"/>
          <w:color w:val="000000"/>
          <w:kern w:val="0"/>
          <w:sz w:val="24"/>
          <w:szCs w:val="24"/>
        </w:rPr>
        <w:t>严格控制每个生产环节进度，控制员工安全风险，实时督促，让安全成为习惯。</w:t>
      </w:r>
      <w:r>
        <w:rPr>
          <w:rFonts w:ascii="宋体" w:cs="宋体"/>
          <w:color w:val="000000"/>
          <w:kern w:val="0"/>
          <w:sz w:val="24"/>
          <w:szCs w:val="24"/>
        </w:rPr>
        <w:t>专业的质检人员层层把关，</w:t>
      </w:r>
      <w:r>
        <w:rPr>
          <w:rFonts w:hint="eastAsia" w:ascii="宋体" w:cs="宋体"/>
          <w:color w:val="000000"/>
          <w:kern w:val="0"/>
          <w:sz w:val="24"/>
          <w:szCs w:val="24"/>
        </w:rPr>
        <w:t>不生产缺陷</w:t>
      </w:r>
      <w:r>
        <w:rPr>
          <w:rFonts w:ascii="宋体" w:cs="宋体"/>
          <w:color w:val="000000"/>
          <w:kern w:val="0"/>
          <w:sz w:val="24"/>
          <w:szCs w:val="24"/>
        </w:rPr>
        <w:t>产品、</w:t>
      </w:r>
      <w:r>
        <w:rPr>
          <w:rFonts w:hint="eastAsia" w:ascii="宋体" w:cs="宋体"/>
          <w:color w:val="000000"/>
          <w:kern w:val="0"/>
          <w:sz w:val="24"/>
          <w:szCs w:val="24"/>
        </w:rPr>
        <w:t>不接收缺陷产品、不流出缺陷产品</w:t>
      </w:r>
      <w:r>
        <w:rPr>
          <w:rFonts w:ascii="宋体" w:cs="宋体"/>
          <w:color w:val="000000"/>
          <w:kern w:val="0"/>
          <w:sz w:val="24"/>
          <w:szCs w:val="24"/>
        </w:rPr>
        <w:t xml:space="preserve">。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在产品营销中，公司致力于给消费者最适合的</w:t>
      </w:r>
      <w:r>
        <w:rPr>
          <w:rFonts w:hint="eastAsia" w:ascii="宋体" w:cs="宋体"/>
          <w:color w:val="000000"/>
          <w:kern w:val="0"/>
          <w:sz w:val="24"/>
          <w:szCs w:val="24"/>
        </w:rPr>
        <w:t>产品</w:t>
      </w:r>
      <w:r>
        <w:rPr>
          <w:rFonts w:ascii="宋体" w:cs="宋体"/>
          <w:color w:val="000000"/>
          <w:kern w:val="0"/>
          <w:sz w:val="24"/>
          <w:szCs w:val="24"/>
        </w:rPr>
        <w:t>，不会因为眼前的利益欺骗或变相欺骗消费者</w:t>
      </w:r>
      <w:r>
        <w:rPr>
          <w:rFonts w:hint="eastAsia" w:ascii="宋体" w:cs="宋体"/>
          <w:color w:val="000000"/>
          <w:kern w:val="0"/>
          <w:sz w:val="24"/>
          <w:szCs w:val="24"/>
        </w:rPr>
        <w:t>，并推出了私人定制服务，针对客户要求进行个性化定制。</w:t>
      </w:r>
      <w:r>
        <w:rPr>
          <w:rFonts w:ascii="宋体" w:cs="宋体"/>
          <w:color w:val="000000"/>
          <w:kern w:val="0"/>
          <w:sz w:val="24"/>
          <w:szCs w:val="24"/>
        </w:rPr>
        <w:t xml:space="preserve">对于消费者关于产品方面的疑问，公司积极回应，力求给消费者最好的答复。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公司有完善的售后服务体系，</w:t>
      </w:r>
      <w:r>
        <w:rPr>
          <w:rFonts w:hint="eastAsia" w:ascii="宋体" w:cs="宋体"/>
          <w:color w:val="000000"/>
          <w:kern w:val="0"/>
          <w:sz w:val="24"/>
          <w:szCs w:val="24"/>
        </w:rPr>
        <w:t>秉承“</w:t>
      </w:r>
      <w:r>
        <w:rPr>
          <w:rFonts w:hint="eastAsia" w:ascii="宋体" w:hAnsi="宋体" w:cs="FangSong_GB2312"/>
          <w:b/>
          <w:color w:val="000000"/>
          <w:sz w:val="24"/>
          <w:lang w:eastAsia="zh-CN"/>
        </w:rPr>
        <w:t>与您携手，共谋发展 ，砥砺前行，未来可期</w:t>
      </w:r>
      <w:r>
        <w:rPr>
          <w:rFonts w:hint="eastAsia" w:ascii="宋体" w:cs="宋体"/>
          <w:color w:val="000000"/>
          <w:kern w:val="0"/>
          <w:sz w:val="24"/>
          <w:szCs w:val="24"/>
        </w:rPr>
        <w:t>” 的超值服务理念，提供从售前、售中到售后的全生命周期的无忧服务，将增值服务融入到与每一位客户密切相关的任何一个环节。</w:t>
      </w:r>
    </w:p>
    <w:p>
      <w:pPr>
        <w:autoSpaceDE w:val="0"/>
        <w:autoSpaceDN w:val="0"/>
        <w:adjustRightInd w:val="0"/>
        <w:spacing w:line="360" w:lineRule="auto"/>
        <w:ind w:firstLine="480" w:firstLineChars="200"/>
        <w:jc w:val="left"/>
        <w:rPr>
          <w:rFonts w:ascii="宋体" w:hAnsi="宋体" w:cs="FangSong_GB2312"/>
          <w:color w:val="000000"/>
          <w:sz w:val="24"/>
        </w:rPr>
      </w:pPr>
      <w:r>
        <w:rPr>
          <w:rFonts w:hint="eastAsia" w:ascii="宋体" w:cs="宋体"/>
          <w:color w:val="000000"/>
          <w:kern w:val="0"/>
          <w:sz w:val="24"/>
          <w:szCs w:val="24"/>
        </w:rPr>
        <w:t>公司为客户提供可靠的售后承诺，</w:t>
      </w:r>
      <w:r>
        <w:rPr>
          <w:rFonts w:hint="eastAsia" w:ascii="宋体" w:hAnsi="宋体" w:cs="FangSong_GB2312"/>
          <w:color w:val="000000"/>
          <w:sz w:val="24"/>
        </w:rPr>
        <w:t xml:space="preserve">公司建立及时反馈处理用户投诉意见的快速反应机制解决问题的规定。 </w:t>
      </w:r>
      <w:r>
        <w:rPr>
          <w:rFonts w:hint="eastAsia" w:ascii="宋体" w:hAnsi="宋体" w:cs="FangSong_GB2312"/>
          <w:b/>
          <w:color w:val="000000"/>
          <w:sz w:val="24"/>
          <w:lang w:val="en-US" w:eastAsia="zh-CN"/>
        </w:rPr>
        <w:t xml:space="preserve"> </w:t>
      </w:r>
      <w:r>
        <w:rPr>
          <w:rFonts w:hint="eastAsia" w:ascii="宋体" w:cs="宋体"/>
          <w:b/>
          <w:bCs/>
          <w:i w:val="0"/>
          <w:iCs w:val="0"/>
          <w:color w:val="000000"/>
          <w:kern w:val="0"/>
          <w:sz w:val="24"/>
          <w:szCs w:val="24"/>
          <w:lang w:val="en-US" w:eastAsia="zh-CN"/>
        </w:rPr>
        <w:t>1 ）在正常运输、贮存且包装完整和未经启封的情况下，自产品出厂之日起 3 年内，出现因厂家原因 造成的产品质量问题，生产商应予以免费更换。 2） 建立出厂产品溯源体系，实行全程质量监控。 3）根据客户需求，利用电话、微信、呼叫中心等途径及时给予客户技术咨询和技术支持。用户对产 品质量有异议时，生产商应在 24 小时内做出处理和响应，及时为客户提供服务和解决方案。 4 ）企业应建立化妆品不良反应监测制度。</w:t>
      </w:r>
      <w:r>
        <w:rPr>
          <w:rFonts w:hint="eastAsia" w:ascii="宋体" w:cs="宋体"/>
          <w:color w:val="000000"/>
          <w:kern w:val="0"/>
          <w:sz w:val="24"/>
          <w:szCs w:val="24"/>
          <w:lang w:val="en-US" w:eastAsia="zh-CN"/>
        </w:rPr>
        <w:t xml:space="preserve">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公司十分注重来自</w:t>
      </w:r>
      <w:r>
        <w:rPr>
          <w:rFonts w:hint="eastAsia" w:ascii="宋体" w:cs="宋体"/>
          <w:color w:val="000000"/>
          <w:kern w:val="0"/>
          <w:sz w:val="24"/>
          <w:szCs w:val="24"/>
        </w:rPr>
        <w:t>客户和</w:t>
      </w:r>
      <w:r>
        <w:rPr>
          <w:rFonts w:ascii="宋体" w:cs="宋体"/>
          <w:color w:val="000000"/>
          <w:kern w:val="0"/>
          <w:sz w:val="24"/>
          <w:szCs w:val="24"/>
        </w:rPr>
        <w:t>消费者的反馈信息，</w:t>
      </w:r>
      <w:r>
        <w:rPr>
          <w:rFonts w:hint="eastAsia" w:ascii="宋体" w:cs="宋体"/>
          <w:color w:val="000000"/>
          <w:kern w:val="0"/>
          <w:sz w:val="24"/>
          <w:szCs w:val="24"/>
        </w:rPr>
        <w:t>由营销中心负责</w:t>
      </w:r>
      <w:r>
        <w:rPr>
          <w:rFonts w:ascii="宋体" w:cs="宋体"/>
          <w:color w:val="000000"/>
          <w:kern w:val="0"/>
          <w:sz w:val="24"/>
          <w:szCs w:val="24"/>
        </w:rPr>
        <w:t>收集记录消费者的意见和建议，并针对消费者在消费过程中遇到的问题积极配合，及时提供合理的解决方案。对于产品问题引起的退换货，公司在确认信息后积极配合解决，确保有效处理各种消费问题，尽可能降低问题产品对消费者的伤害。针对已知的问题，公司会分环节分车间严查漏洞，及时修正，努力消除产品的质量、安全隐患，为消费者提供更高质量的产品以及更完善的服务。</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公司建有完善的合同管理制度，合同签订充分考虑合作方权益，努力做到权责平衡，保证公平公正。公司切实履行商业合同以及对外订立的合同，除不可抗力和对方违约，以及经双方当事人协商变更、解除者外，合同基本都能</w:t>
      </w:r>
      <w:r>
        <w:rPr>
          <w:rFonts w:hint="eastAsia" w:ascii="宋体" w:cs="宋体"/>
          <w:color w:val="000000"/>
          <w:kern w:val="0"/>
          <w:sz w:val="24"/>
          <w:szCs w:val="24"/>
        </w:rPr>
        <w:t>按</w:t>
      </w:r>
      <w:r>
        <w:rPr>
          <w:rFonts w:ascii="宋体" w:cs="宋体"/>
          <w:color w:val="000000"/>
          <w:kern w:val="0"/>
          <w:sz w:val="24"/>
          <w:szCs w:val="24"/>
        </w:rPr>
        <w:t>约定执行。公司成立以来诚实守信的履约行为在行业中赢得了良好的口碑，近年来，更是有为数不少的企业为了寻求合作主动找到公司进行考察、洽谈。</w:t>
      </w:r>
    </w:p>
    <w:p>
      <w:pPr>
        <w:widowControl/>
        <w:spacing w:line="219" w:lineRule="atLeast"/>
        <w:ind w:firstLine="480" w:firstLineChars="200"/>
        <w:jc w:val="left"/>
        <w:rPr>
          <w:rFonts w:hint="eastAsia" w:ascii="&amp;quot" w:hAnsi="&amp;quot" w:cs="宋体"/>
          <w:kern w:val="0"/>
          <w:sz w:val="24"/>
          <w:szCs w:val="24"/>
        </w:rPr>
      </w:pPr>
    </w:p>
    <w:p>
      <w:pPr>
        <w:autoSpaceDE w:val="0"/>
        <w:autoSpaceDN w:val="0"/>
        <w:adjustRightInd w:val="0"/>
        <w:ind w:firstLine="480" w:firstLineChars="200"/>
        <w:jc w:val="left"/>
        <w:rPr>
          <w:rFonts w:hint="eastAsia" w:ascii="&amp;quot" w:hAnsi="&amp;quot" w:cs="宋体"/>
          <w:kern w:val="0"/>
          <w:sz w:val="24"/>
          <w:szCs w:val="24"/>
        </w:rPr>
      </w:pPr>
      <w:r>
        <w:rPr>
          <w:rFonts w:hint="eastAsia" w:ascii="&amp;quot" w:hAnsi="&amp;quot" w:cs="宋体"/>
          <w:kern w:val="0"/>
          <w:sz w:val="24"/>
          <w:szCs w:val="24"/>
        </w:rPr>
        <w:t>（2）</w:t>
      </w:r>
      <w:r>
        <w:rPr>
          <w:rFonts w:hint="eastAsia" w:ascii="宋体" w:cs="宋体"/>
          <w:color w:val="000000"/>
          <w:kern w:val="0"/>
          <w:sz w:val="24"/>
          <w:szCs w:val="24"/>
        </w:rPr>
        <w:t>反腐败</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公司十分重视廉洁运营相关工作，在采购等敏感环节设专人监督，建立透明的操作模式，将工作内容曝光在众人目光之下，让企业员工积极参与进来，在认识到廉洁运营重要性的同时起到监督管理作用。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公司将反腐败相关内容具体化，通过多种形式宣传反腐知识，提高员工反腐意识，从根源处杜绝腐败之风。具体举措有：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1、以机制促廉政。</w:t>
      </w:r>
      <w:r>
        <w:rPr>
          <w:rFonts w:hint="eastAsia" w:ascii="宋体" w:cs="宋体"/>
          <w:color w:val="000000"/>
          <w:kern w:val="0"/>
          <w:sz w:val="24"/>
          <w:szCs w:val="24"/>
        </w:rPr>
        <w:t>党员和干部带头进行</w:t>
      </w:r>
      <w:r>
        <w:rPr>
          <w:rFonts w:ascii="宋体" w:cs="宋体"/>
          <w:color w:val="000000"/>
          <w:kern w:val="0"/>
          <w:sz w:val="24"/>
          <w:szCs w:val="24"/>
        </w:rPr>
        <w:t>廉政建设，</w:t>
      </w:r>
      <w:r>
        <w:rPr>
          <w:rFonts w:hint="eastAsia" w:ascii="宋体" w:cs="宋体"/>
          <w:color w:val="000000"/>
          <w:kern w:val="0"/>
          <w:sz w:val="24"/>
          <w:szCs w:val="24"/>
        </w:rPr>
        <w:t>并</w:t>
      </w:r>
      <w:r>
        <w:rPr>
          <w:rFonts w:ascii="宋体" w:cs="宋体"/>
          <w:color w:val="000000"/>
          <w:kern w:val="0"/>
          <w:sz w:val="24"/>
          <w:szCs w:val="24"/>
        </w:rPr>
        <w:t>渗透到</w:t>
      </w:r>
      <w:r>
        <w:rPr>
          <w:rFonts w:hint="eastAsia" w:ascii="宋体" w:cs="宋体"/>
          <w:color w:val="000000"/>
          <w:kern w:val="0"/>
          <w:sz w:val="24"/>
          <w:szCs w:val="24"/>
        </w:rPr>
        <w:t>各项基层管理活动和</w:t>
      </w:r>
      <w:r>
        <w:rPr>
          <w:rFonts w:ascii="宋体" w:cs="宋体"/>
          <w:color w:val="000000"/>
          <w:kern w:val="0"/>
          <w:sz w:val="24"/>
          <w:szCs w:val="24"/>
        </w:rPr>
        <w:t xml:space="preserve">市场化运营等每个环节。落实职工知情权，扩大职工参与权，保证党风廉政建设扎扎实实取得实效；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2、以活动强意识。深入开展“廉洁从业宣教”活动，包括学廉洁知识、听廉政报告、观看廉洁警示片、廉洁竞赛答题等内容，增强领导人员的大局意识、宗旨意识、法纪意识和监督意识； </w:t>
      </w:r>
    </w:p>
    <w:p>
      <w:pPr>
        <w:autoSpaceDE w:val="0"/>
        <w:autoSpaceDN w:val="0"/>
        <w:adjustRightInd w:val="0"/>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3、以岗位树正气。强化“一岗双责”意识，有针对性地展开岗位廉洁教育，建立完善动态、立体式防控措施，切实杜绝违规违纪问题发生，营造风清气正、勤廉服务的良好氛围。 </w:t>
      </w:r>
    </w:p>
    <w:p>
      <w:pPr>
        <w:widowControl/>
        <w:spacing w:line="360" w:lineRule="auto"/>
        <w:jc w:val="left"/>
        <w:rPr>
          <w:rFonts w:hint="eastAsia" w:ascii="&amp;quot" w:hAnsi="&amp;quot" w:cs="宋体"/>
          <w:kern w:val="0"/>
          <w:sz w:val="24"/>
          <w:szCs w:val="24"/>
        </w:rPr>
      </w:pPr>
      <w:r>
        <w:rPr>
          <w:rFonts w:hint="eastAsia" w:ascii="&amp;quot" w:hAnsi="&amp;quot" w:cs="宋体"/>
          <w:kern w:val="0"/>
          <w:sz w:val="24"/>
          <w:szCs w:val="24"/>
        </w:rPr>
        <w:t>（3）在价值链中促进社会责任</w:t>
      </w:r>
    </w:p>
    <w:p>
      <w:pPr>
        <w:autoSpaceDE w:val="0"/>
        <w:autoSpaceDN w:val="0"/>
        <w:adjustRightInd w:val="0"/>
        <w:spacing w:line="360" w:lineRule="auto"/>
        <w:ind w:firstLine="480" w:firstLineChars="200"/>
        <w:jc w:val="left"/>
        <w:rPr>
          <w:rFonts w:ascii="宋体" w:cs="宋体"/>
          <w:color w:val="000000"/>
          <w:kern w:val="0"/>
          <w:sz w:val="24"/>
          <w:szCs w:val="24"/>
        </w:rPr>
      </w:pPr>
      <w:r>
        <w:rPr>
          <w:rFonts w:hint="eastAsia" w:ascii="宋体" w:cs="宋体"/>
          <w:color w:val="000000"/>
          <w:kern w:val="0"/>
          <w:sz w:val="24"/>
          <w:szCs w:val="24"/>
        </w:rPr>
        <w:t>公司严格履行供应商、经销商和服务合作伙伴选择评价的准则，公平考虑相关方在质量、环境和职业健康安全等方面绩效和管理水平，选择合适的相关方合作。对合作公司定期评估相关方的绩效表现，基于公平公正公开的原则，促进供应链的优化，提升整体价值链的绩效。</w:t>
      </w:r>
    </w:p>
    <w:p>
      <w:pPr>
        <w:widowControl/>
        <w:spacing w:line="360" w:lineRule="auto"/>
        <w:jc w:val="left"/>
        <w:rPr>
          <w:rFonts w:hint="eastAsia" w:ascii="&amp;quot" w:hAnsi="&amp;quot" w:cs="宋体"/>
          <w:kern w:val="0"/>
          <w:sz w:val="24"/>
          <w:szCs w:val="24"/>
        </w:rPr>
      </w:pPr>
      <w:r>
        <w:rPr>
          <w:rFonts w:hint="eastAsia" w:ascii="&amp;quot" w:hAnsi="&amp;quot" w:cs="宋体"/>
          <w:kern w:val="0"/>
          <w:sz w:val="24"/>
          <w:szCs w:val="24"/>
        </w:rPr>
        <w:t>（4）产权保护</w:t>
      </w:r>
      <w:bookmarkStart w:id="4" w:name="_Toc451610895"/>
      <w:bookmarkStart w:id="5" w:name="_Toc451610988"/>
      <w:r>
        <w:rPr>
          <w:rFonts w:hint="eastAsia" w:ascii="&amp;quot" w:hAnsi="&amp;quot" w:cs="宋体"/>
          <w:kern w:val="0"/>
          <w:sz w:val="24"/>
          <w:szCs w:val="24"/>
        </w:rPr>
        <w:t xml:space="preserve"> </w:t>
      </w:r>
    </w:p>
    <w:p>
      <w:pPr>
        <w:widowControl/>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公司坚决遵守知识产权相关法律法规，并建立了严格的知识产权管理制度。除了向内部员工普及产权知识外，公司还积极响应市场号召，通过座谈会等不同形式向消费者及公司合作伙伴宣传产权保护意识，通过自身积极影响推动市场产权保护进程。具体举措如： </w:t>
      </w:r>
    </w:p>
    <w:p>
      <w:pPr>
        <w:widowControl/>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1、增强产权保护意识。既尊重他人识产权，也注重对自己产权的保护，通过与国际社会的通力合作，赢得中国企业和企业家的荣誉与尊严； </w:t>
      </w:r>
    </w:p>
    <w:p>
      <w:pPr>
        <w:widowControl/>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2、完善公司自主创新机制，积极开展自主创新活动。只有大力开发具有自主产权的关键技术和核心技术，拥有行业更多的自主知识产权，才能摆脱受制于人的弱者地位，才能有经济竞争力以及受人尊重的国际影响力； </w:t>
      </w:r>
    </w:p>
    <w:p>
      <w:pPr>
        <w:widowControl/>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3、在日常生产经营活动中，严格依法办事。不侵害他人的产权，不盗用他人的专利技术，不制造、不使用、不销售、不传播假冒产品，不盗用和仿造他人的商标、产品标识和外观设计； </w:t>
      </w:r>
    </w:p>
    <w:p>
      <w:pPr>
        <w:widowControl/>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 xml:space="preserve">4、坚决与侵害他人产权的不法行为做斗争，积极举报涉及产权的违法行为，主动配合政府做好对产权违法行为的遏制、查处和打击工作； </w:t>
      </w:r>
    </w:p>
    <w:p>
      <w:pPr>
        <w:widowControl/>
        <w:spacing w:line="360" w:lineRule="auto"/>
        <w:ind w:firstLine="480" w:firstLineChars="200"/>
        <w:jc w:val="left"/>
        <w:rPr>
          <w:rFonts w:ascii="宋体" w:cs="宋体"/>
          <w:color w:val="000000"/>
          <w:kern w:val="0"/>
          <w:sz w:val="24"/>
          <w:szCs w:val="24"/>
        </w:rPr>
      </w:pPr>
      <w:r>
        <w:rPr>
          <w:rFonts w:ascii="宋体" w:cs="宋体"/>
          <w:color w:val="000000"/>
          <w:kern w:val="0"/>
          <w:sz w:val="24"/>
          <w:szCs w:val="24"/>
        </w:rPr>
        <w:t>5、积极参与宣传保护产权的社会活动，与社会各界共同致力于产权事业的健康发展。认真履行与产权相关的社会责任，增强全社会产权保护意识，为切实推进我国产权保护事业的发展作出贡献。</w:t>
      </w:r>
    </w:p>
    <w:p>
      <w:pPr>
        <w:widowControl/>
        <w:spacing w:line="219" w:lineRule="atLeast"/>
        <w:ind w:firstLine="480"/>
        <w:jc w:val="left"/>
        <w:rPr>
          <w:rFonts w:hint="eastAsia" w:ascii="&amp;quot" w:hAnsi="&amp;quot" w:cs="宋体"/>
          <w:kern w:val="0"/>
          <w:sz w:val="24"/>
          <w:szCs w:val="24"/>
        </w:rPr>
      </w:pPr>
    </w:p>
    <w:p>
      <w:pPr>
        <w:spacing w:beforeLines="50" w:afterLines="50"/>
        <w:outlineLvl w:val="1"/>
        <w:rPr>
          <w:rFonts w:ascii="宋体" w:cs="宋体"/>
          <w:b/>
          <w:sz w:val="23"/>
          <w:szCs w:val="23"/>
        </w:rPr>
      </w:pPr>
      <w:r>
        <w:rPr>
          <w:rFonts w:hint="eastAsia" w:ascii="宋体" w:cs="宋体"/>
          <w:b/>
          <w:sz w:val="23"/>
          <w:szCs w:val="23"/>
        </w:rPr>
        <w:t>（五）社区参与和发展</w:t>
      </w:r>
    </w:p>
    <w:p>
      <w:pPr>
        <w:rPr>
          <w:rFonts w:ascii="宋体" w:cs="宋体"/>
          <w:b/>
          <w:sz w:val="23"/>
          <w:szCs w:val="23"/>
        </w:rPr>
      </w:pPr>
      <w:r>
        <w:rPr>
          <w:rFonts w:hint="eastAsia" w:ascii="宋体" w:cs="宋体"/>
          <w:b/>
          <w:sz w:val="23"/>
          <w:szCs w:val="23"/>
        </w:rPr>
        <w:t>(1) 公益支持</w:t>
      </w:r>
    </w:p>
    <w:p>
      <w:pPr>
        <w:topLinePunct/>
        <w:adjustRightInd w:val="0"/>
        <w:snapToGrid w:val="0"/>
        <w:spacing w:before="50" w:after="50" w:line="300" w:lineRule="auto"/>
        <w:ind w:firstLine="480"/>
        <w:rPr>
          <w:rFonts w:ascii="宋体" w:cs="宋体"/>
          <w:color w:val="000000"/>
          <w:kern w:val="0"/>
          <w:sz w:val="24"/>
          <w:szCs w:val="24"/>
        </w:rPr>
      </w:pPr>
      <w:r>
        <w:rPr>
          <w:rFonts w:hint="eastAsia" w:ascii="宋体" w:cs="宋体"/>
          <w:color w:val="000000"/>
          <w:kern w:val="0"/>
          <w:sz w:val="24"/>
          <w:szCs w:val="24"/>
          <w:lang w:eastAsia="zh-CN"/>
        </w:rPr>
        <w:t xml:space="preserve">安科化妆品（浙江）有限公司 </w:t>
      </w:r>
      <w:r>
        <w:rPr>
          <w:rFonts w:hint="eastAsia" w:ascii="宋体" w:cs="宋体"/>
          <w:color w:val="000000"/>
          <w:kern w:val="0"/>
          <w:sz w:val="24"/>
          <w:szCs w:val="24"/>
        </w:rPr>
        <w:t>发展壮大的同时，牢记奉献社会，造福一方，以奉献爱心回报社会，诠释企业的价值观念和人文精神。公司在抗击新型肺炎疫情的形势下，积极投身到常态化疫情防控工作中，推动生产生活秩序恢复正常，</w:t>
      </w:r>
      <w:r>
        <w:rPr>
          <w:rFonts w:hint="eastAsia" w:ascii="宋体" w:hAnsi="宋体" w:cs="FangSong_GB2312"/>
          <w:color w:val="000000"/>
          <w:sz w:val="24"/>
        </w:rPr>
        <w:t>近三年的公益捐款如下：</w:t>
      </w:r>
    </w:p>
    <w:p>
      <w:pPr>
        <w:spacing w:line="360" w:lineRule="auto"/>
        <w:jc w:val="center"/>
        <w:rPr>
          <w:rFonts w:ascii="宋体" w:hAnsi="宋体"/>
          <w:color w:val="000000"/>
          <w:sz w:val="24"/>
        </w:rPr>
      </w:pPr>
      <w:r>
        <w:rPr>
          <w:rFonts w:hint="eastAsia"/>
          <w:color w:val="000000"/>
          <w:sz w:val="24"/>
        </w:rPr>
        <w:t>近三年</w:t>
      </w:r>
      <w:r>
        <w:rPr>
          <w:rFonts w:hint="eastAsia" w:ascii="宋体" w:hAnsi="宋体"/>
          <w:color w:val="000000"/>
          <w:sz w:val="24"/>
        </w:rPr>
        <w:t>公司公益捐款情况</w:t>
      </w:r>
    </w:p>
    <w:tbl>
      <w:tblPr>
        <w:tblStyle w:val="39"/>
        <w:tblW w:w="5245" w:type="pct"/>
        <w:tblInd w:w="0" w:type="dxa"/>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Layout w:type="autofit"/>
        <w:tblCellMar>
          <w:top w:w="0" w:type="dxa"/>
          <w:left w:w="108" w:type="dxa"/>
          <w:bottom w:w="0" w:type="dxa"/>
          <w:right w:w="108" w:type="dxa"/>
        </w:tblCellMar>
      </w:tblPr>
      <w:tblGrid>
        <w:gridCol w:w="959"/>
        <w:gridCol w:w="1377"/>
        <w:gridCol w:w="2592"/>
        <w:gridCol w:w="2223"/>
        <w:gridCol w:w="1789"/>
      </w:tblGrid>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404" w:hRule="atLeast"/>
          <w:tblHeader/>
        </w:trPr>
        <w:tc>
          <w:tcPr>
            <w:tcW w:w="536" w:type="pct"/>
            <w:shd w:val="clear" w:color="auto" w:fill="5B9BD5"/>
            <w:vAlign w:val="center"/>
          </w:tcPr>
          <w:p>
            <w:pPr>
              <w:topLinePunct/>
              <w:adjustRightInd w:val="0"/>
              <w:snapToGrid w:val="0"/>
              <w:spacing w:before="50" w:after="50" w:line="300" w:lineRule="auto"/>
              <w:jc w:val="center"/>
              <w:rPr>
                <w:rFonts w:ascii="黑体" w:hAnsi="黑体" w:eastAsia="黑体"/>
                <w:b/>
                <w:color w:val="FFFFFF"/>
                <w:szCs w:val="21"/>
              </w:rPr>
            </w:pPr>
            <w:r>
              <w:rPr>
                <w:rFonts w:ascii="黑体" w:hAnsi="黑体" w:eastAsia="黑体"/>
                <w:b/>
                <w:color w:val="FFFFFF"/>
                <w:szCs w:val="21"/>
              </w:rPr>
              <w:t>序号</w:t>
            </w:r>
          </w:p>
        </w:tc>
        <w:tc>
          <w:tcPr>
            <w:tcW w:w="770" w:type="pct"/>
            <w:shd w:val="clear" w:color="auto" w:fill="5B9BD5"/>
            <w:vAlign w:val="center"/>
          </w:tcPr>
          <w:p>
            <w:pPr>
              <w:topLinePunct/>
              <w:adjustRightInd w:val="0"/>
              <w:snapToGrid w:val="0"/>
              <w:spacing w:before="50" w:after="50" w:line="300" w:lineRule="auto"/>
              <w:jc w:val="center"/>
              <w:rPr>
                <w:rFonts w:ascii="黑体" w:hAnsi="黑体" w:eastAsia="黑体"/>
                <w:b/>
                <w:color w:val="FFFFFF"/>
                <w:szCs w:val="21"/>
              </w:rPr>
            </w:pPr>
            <w:r>
              <w:rPr>
                <w:rFonts w:ascii="黑体" w:hAnsi="黑体" w:eastAsia="黑体"/>
                <w:b/>
                <w:bCs/>
                <w:color w:val="FFFFFF"/>
                <w:szCs w:val="21"/>
              </w:rPr>
              <w:t>重点支持领域</w:t>
            </w:r>
          </w:p>
        </w:tc>
        <w:tc>
          <w:tcPr>
            <w:tcW w:w="1449" w:type="pct"/>
            <w:shd w:val="clear" w:color="auto" w:fill="5B9BD5"/>
            <w:vAlign w:val="center"/>
          </w:tcPr>
          <w:p>
            <w:pPr>
              <w:topLinePunct/>
              <w:adjustRightInd w:val="0"/>
              <w:snapToGrid w:val="0"/>
              <w:spacing w:before="50" w:after="50" w:line="300" w:lineRule="auto"/>
              <w:jc w:val="center"/>
              <w:rPr>
                <w:rFonts w:ascii="黑体" w:hAnsi="黑体" w:eastAsia="黑体"/>
                <w:b/>
                <w:color w:val="FFFFFF"/>
                <w:szCs w:val="21"/>
              </w:rPr>
            </w:pPr>
            <w:r>
              <w:rPr>
                <w:rFonts w:ascii="黑体" w:hAnsi="黑体" w:eastAsia="黑体"/>
                <w:b/>
                <w:color w:val="FFFFFF"/>
                <w:szCs w:val="21"/>
              </w:rPr>
              <w:t>公益支持项目</w:t>
            </w:r>
          </w:p>
        </w:tc>
        <w:tc>
          <w:tcPr>
            <w:tcW w:w="1243" w:type="pct"/>
            <w:shd w:val="clear" w:color="auto" w:fill="5B9BD5"/>
            <w:vAlign w:val="center"/>
          </w:tcPr>
          <w:p>
            <w:pPr>
              <w:topLinePunct/>
              <w:adjustRightInd w:val="0"/>
              <w:snapToGrid w:val="0"/>
              <w:spacing w:before="50" w:after="50" w:line="300" w:lineRule="auto"/>
              <w:jc w:val="center"/>
              <w:rPr>
                <w:rFonts w:hint="default" w:ascii="黑体" w:hAnsi="黑体" w:eastAsia="黑体"/>
                <w:b/>
                <w:color w:val="FFFFFF"/>
                <w:szCs w:val="21"/>
                <w:lang w:val="en-US" w:eastAsia="zh-CN"/>
              </w:rPr>
            </w:pPr>
            <w:r>
              <w:rPr>
                <w:rFonts w:ascii="黑体" w:hAnsi="黑体" w:eastAsia="黑体"/>
                <w:b/>
                <w:color w:val="FFFFFF"/>
                <w:szCs w:val="21"/>
              </w:rPr>
              <w:t>选择理由</w:t>
            </w:r>
            <w:r>
              <w:rPr>
                <w:rFonts w:hint="eastAsia" w:ascii="黑体" w:hAnsi="黑体" w:eastAsia="黑体"/>
                <w:b/>
                <w:color w:val="FFFFFF"/>
                <w:szCs w:val="21"/>
                <w:lang w:val="en-US" w:eastAsia="zh-CN"/>
              </w:rPr>
              <w:t>及及捐赠对象</w:t>
            </w:r>
          </w:p>
        </w:tc>
        <w:tc>
          <w:tcPr>
            <w:tcW w:w="1000" w:type="pct"/>
            <w:shd w:val="clear" w:color="auto" w:fill="5B9BD5"/>
            <w:vAlign w:val="center"/>
          </w:tcPr>
          <w:p>
            <w:pPr>
              <w:topLinePunct/>
              <w:adjustRightInd w:val="0"/>
              <w:snapToGrid w:val="0"/>
              <w:spacing w:before="50" w:after="50" w:line="300" w:lineRule="auto"/>
              <w:jc w:val="center"/>
              <w:rPr>
                <w:rFonts w:ascii="黑体" w:hAnsi="黑体" w:eastAsia="黑体"/>
                <w:b/>
                <w:color w:val="FFFFFF"/>
                <w:szCs w:val="21"/>
                <w:highlight w:val="yellow"/>
              </w:rPr>
            </w:pPr>
            <w:r>
              <w:rPr>
                <w:rFonts w:ascii="黑体" w:hAnsi="黑体" w:eastAsia="黑体"/>
                <w:b/>
                <w:color w:val="FFFFFF"/>
                <w:szCs w:val="21"/>
              </w:rPr>
              <w:t>金额（万元）</w:t>
            </w:r>
            <w:r>
              <w:rPr>
                <w:rFonts w:hint="eastAsia" w:ascii="黑体" w:hAnsi="黑体" w:eastAsia="黑体"/>
                <w:b/>
                <w:color w:val="FFFFFF"/>
                <w:szCs w:val="21"/>
              </w:rPr>
              <w:t>或物资</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922" w:hRule="atLeast"/>
        </w:trPr>
        <w:tc>
          <w:tcPr>
            <w:tcW w:w="536"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ascii="黑体" w:hAnsi="黑体" w:eastAsia="黑体"/>
                <w:szCs w:val="21"/>
              </w:rPr>
              <w:t>1</w:t>
            </w:r>
          </w:p>
        </w:tc>
        <w:tc>
          <w:tcPr>
            <w:tcW w:w="770"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rPr>
              <w:t>社会责任</w:t>
            </w:r>
          </w:p>
        </w:tc>
        <w:tc>
          <w:tcPr>
            <w:tcW w:w="1449" w:type="pct"/>
            <w:shd w:val="clear" w:color="auto" w:fill="auto"/>
            <w:vAlign w:val="center"/>
          </w:tcPr>
          <w:p>
            <w:pPr>
              <w:topLinePunct/>
              <w:adjustRightInd w:val="0"/>
              <w:snapToGrid w:val="0"/>
              <w:spacing w:before="50" w:after="50" w:line="300" w:lineRule="auto"/>
              <w:jc w:val="center"/>
              <w:rPr>
                <w:rFonts w:hint="eastAsia" w:ascii="黑体" w:hAnsi="黑体" w:eastAsia="黑体"/>
                <w:szCs w:val="21"/>
                <w:lang w:eastAsia="zh-CN"/>
              </w:rPr>
            </w:pPr>
            <w:r>
              <w:rPr>
                <w:rFonts w:hint="eastAsia" w:ascii="黑体" w:hAnsi="黑体" w:eastAsia="黑体"/>
                <w:szCs w:val="21"/>
                <w:lang w:val="en-US" w:eastAsia="zh-CN"/>
              </w:rPr>
              <w:t>抗击疫情</w:t>
            </w:r>
          </w:p>
        </w:tc>
        <w:tc>
          <w:tcPr>
            <w:tcW w:w="1243" w:type="pct"/>
            <w:shd w:val="clear" w:color="auto" w:fill="auto"/>
            <w:vAlign w:val="center"/>
          </w:tcPr>
          <w:p>
            <w:pPr>
              <w:topLinePunct/>
              <w:adjustRightInd w:val="0"/>
              <w:snapToGrid w:val="0"/>
              <w:spacing w:before="50" w:after="50" w:line="300" w:lineRule="auto"/>
              <w:jc w:val="left"/>
              <w:rPr>
                <w:rFonts w:hint="default" w:ascii="黑体" w:hAnsi="黑体" w:eastAsia="黑体"/>
                <w:szCs w:val="21"/>
                <w:lang w:val="en-US" w:eastAsia="zh-CN"/>
              </w:rPr>
            </w:pPr>
            <w:r>
              <w:rPr>
                <w:rFonts w:hint="eastAsia" w:ascii="黑体" w:hAnsi="黑体" w:eastAsia="黑体"/>
                <w:szCs w:val="21"/>
                <w:lang w:val="en-US" w:eastAsia="zh-CN"/>
              </w:rPr>
              <w:t>防疫活动</w:t>
            </w:r>
          </w:p>
        </w:tc>
        <w:tc>
          <w:tcPr>
            <w:tcW w:w="1000" w:type="pct"/>
            <w:shd w:val="clear" w:color="auto" w:fill="auto"/>
            <w:vAlign w:val="center"/>
          </w:tcPr>
          <w:p>
            <w:pPr>
              <w:topLinePunct/>
              <w:adjustRightInd w:val="0"/>
              <w:snapToGrid w:val="0"/>
              <w:spacing w:before="50" w:after="50" w:line="300" w:lineRule="auto"/>
              <w:jc w:val="center"/>
              <w:rPr>
                <w:rFonts w:hint="default" w:ascii="黑体" w:hAnsi="黑体" w:eastAsia="黑体"/>
                <w:szCs w:val="21"/>
                <w:lang w:val="en-US" w:eastAsia="zh-CN"/>
              </w:rPr>
            </w:pPr>
            <w:r>
              <w:rPr>
                <w:rFonts w:hint="eastAsia" w:ascii="黑体" w:hAnsi="黑体" w:eastAsia="黑体"/>
                <w:szCs w:val="21"/>
                <w:lang w:val="en-US" w:eastAsia="zh-CN"/>
              </w:rPr>
              <w:t>物资价值40万元（离子体空气消毒器、营养食品、保健食品)</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922" w:hRule="atLeast"/>
        </w:trPr>
        <w:tc>
          <w:tcPr>
            <w:tcW w:w="536"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rPr>
              <w:t>2</w:t>
            </w:r>
          </w:p>
        </w:tc>
        <w:tc>
          <w:tcPr>
            <w:tcW w:w="770"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rPr>
              <w:t>社会责任</w:t>
            </w:r>
          </w:p>
        </w:tc>
        <w:tc>
          <w:tcPr>
            <w:tcW w:w="1449"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lang w:val="en-US" w:eastAsia="zh-CN"/>
              </w:rPr>
              <w:t>抗击疫情</w:t>
            </w:r>
          </w:p>
        </w:tc>
        <w:tc>
          <w:tcPr>
            <w:tcW w:w="1243" w:type="pct"/>
            <w:shd w:val="clear" w:color="auto" w:fill="auto"/>
            <w:vAlign w:val="center"/>
          </w:tcPr>
          <w:p>
            <w:pPr>
              <w:topLinePunct/>
              <w:adjustRightInd w:val="0"/>
              <w:snapToGrid w:val="0"/>
              <w:spacing w:before="50" w:after="50" w:line="300" w:lineRule="auto"/>
              <w:jc w:val="left"/>
              <w:rPr>
                <w:rFonts w:hint="default" w:ascii="黑体" w:hAnsi="黑体" w:eastAsia="黑体"/>
                <w:szCs w:val="21"/>
                <w:lang w:val="en-US" w:eastAsia="zh-CN"/>
              </w:rPr>
            </w:pPr>
            <w:r>
              <w:rPr>
                <w:rFonts w:hint="eastAsia" w:ascii="黑体" w:hAnsi="黑体" w:eastAsia="黑体"/>
                <w:szCs w:val="21"/>
              </w:rPr>
              <w:t>防疫活动</w:t>
            </w:r>
            <w:r>
              <w:rPr>
                <w:rFonts w:hint="eastAsia" w:ascii="黑体" w:hAnsi="黑体" w:eastAsia="黑体"/>
                <w:szCs w:val="21"/>
                <w:lang w:eastAsia="zh-CN"/>
              </w:rPr>
              <w:t>（</w:t>
            </w:r>
            <w:r>
              <w:rPr>
                <w:rFonts w:hint="eastAsia" w:ascii="黑体" w:hAnsi="黑体" w:eastAsia="黑体"/>
                <w:szCs w:val="21"/>
                <w:lang w:val="en-US" w:eastAsia="zh-CN"/>
              </w:rPr>
              <w:t>湖北省黄冈市红安县中医医院/温州医科大学附属第二医院/乐清市人民医院/浙大邵逸夫医院援助湖北医疗队/武汉雷神山医院）</w:t>
            </w:r>
          </w:p>
        </w:tc>
        <w:tc>
          <w:tcPr>
            <w:tcW w:w="1000"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lang w:val="en-US" w:eastAsia="zh-CN"/>
              </w:rPr>
              <w:t>现金7.43</w:t>
            </w:r>
            <w:r>
              <w:rPr>
                <w:rFonts w:hint="eastAsia" w:ascii="黑体" w:hAnsi="黑体" w:eastAsia="黑体"/>
                <w:szCs w:val="21"/>
              </w:rPr>
              <w:t>万</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922" w:hRule="atLeast"/>
        </w:trPr>
        <w:tc>
          <w:tcPr>
            <w:tcW w:w="959" w:type="dxa"/>
            <w:shd w:val="clear" w:color="auto" w:fill="auto"/>
            <w:vAlign w:val="center"/>
          </w:tcPr>
          <w:p>
            <w:pPr>
              <w:topLinePunct/>
              <w:adjustRightInd w:val="0"/>
              <w:snapToGrid w:val="0"/>
              <w:spacing w:before="50" w:after="50" w:line="300" w:lineRule="auto"/>
              <w:jc w:val="center"/>
              <w:rPr>
                <w:rFonts w:hint="eastAsia" w:ascii="黑体" w:hAnsi="黑体" w:eastAsia="黑体"/>
                <w:szCs w:val="21"/>
                <w:lang w:val="en-US" w:eastAsia="zh-CN"/>
              </w:rPr>
            </w:pPr>
            <w:r>
              <w:rPr>
                <w:rFonts w:hint="eastAsia" w:ascii="黑体" w:hAnsi="黑体" w:eastAsia="黑体"/>
                <w:szCs w:val="21"/>
                <w:lang w:val="en-US" w:eastAsia="zh-CN"/>
              </w:rPr>
              <w:t>3</w:t>
            </w:r>
          </w:p>
        </w:tc>
        <w:tc>
          <w:tcPr>
            <w:tcW w:w="1377" w:type="dxa"/>
            <w:shd w:val="clear" w:color="auto" w:fill="auto"/>
            <w:vAlign w:val="center"/>
          </w:tcPr>
          <w:p>
            <w:pPr>
              <w:topLinePunct/>
              <w:adjustRightInd w:val="0"/>
              <w:snapToGrid w:val="0"/>
              <w:spacing w:before="50" w:after="50" w:line="300" w:lineRule="auto"/>
              <w:jc w:val="center"/>
              <w:rPr>
                <w:rFonts w:hint="eastAsia" w:ascii="黑体" w:hAnsi="黑体" w:eastAsia="黑体"/>
                <w:szCs w:val="21"/>
              </w:rPr>
            </w:pPr>
            <w:r>
              <w:rPr>
                <w:rFonts w:hint="eastAsia" w:ascii="黑体" w:hAnsi="黑体" w:eastAsia="黑体"/>
                <w:szCs w:val="21"/>
              </w:rPr>
              <w:t>社会责任</w:t>
            </w:r>
          </w:p>
        </w:tc>
        <w:tc>
          <w:tcPr>
            <w:tcW w:w="2592" w:type="dxa"/>
            <w:shd w:val="clear" w:color="auto" w:fill="auto"/>
            <w:vAlign w:val="center"/>
          </w:tcPr>
          <w:p>
            <w:pPr>
              <w:topLinePunct/>
              <w:adjustRightInd w:val="0"/>
              <w:snapToGrid w:val="0"/>
              <w:spacing w:before="50" w:after="50" w:line="300" w:lineRule="auto"/>
              <w:jc w:val="center"/>
              <w:rPr>
                <w:rFonts w:hint="eastAsia" w:ascii="黑体" w:hAnsi="黑体" w:eastAsia="黑体"/>
                <w:szCs w:val="21"/>
                <w:lang w:val="en-US" w:eastAsia="zh-CN"/>
              </w:rPr>
            </w:pPr>
            <w:r>
              <w:rPr>
                <w:rFonts w:hint="eastAsia" w:ascii="黑体" w:hAnsi="黑体" w:eastAsia="黑体" w:cs="Times New Roman"/>
                <w:sz w:val="21"/>
                <w:szCs w:val="21"/>
                <w:lang w:val="en-US" w:eastAsia="zh-CN"/>
              </w:rPr>
              <w:t>情系教育 爱心捐赠</w:t>
            </w:r>
          </w:p>
        </w:tc>
        <w:tc>
          <w:tcPr>
            <w:tcW w:w="2223" w:type="dxa"/>
            <w:shd w:val="clear" w:color="auto" w:fill="auto"/>
            <w:vAlign w:val="center"/>
          </w:tcPr>
          <w:p>
            <w:pPr>
              <w:topLinePunct/>
              <w:adjustRightInd w:val="0"/>
              <w:snapToGrid w:val="0"/>
              <w:spacing w:before="50" w:after="50" w:line="300" w:lineRule="auto"/>
              <w:jc w:val="left"/>
              <w:rPr>
                <w:rFonts w:hint="eastAsia" w:ascii="黑体" w:hAnsi="黑体" w:eastAsia="黑体"/>
                <w:szCs w:val="21"/>
              </w:rPr>
            </w:pPr>
            <w:r>
              <w:rPr>
                <w:rFonts w:hint="eastAsia" w:ascii="黑体" w:hAnsi="黑体" w:eastAsia="黑体" w:cs="Times New Roman"/>
                <w:sz w:val="21"/>
                <w:szCs w:val="21"/>
                <w:lang w:val="en-US" w:eastAsia="zh-CN"/>
              </w:rPr>
              <w:t>中国计量大学现代科技学院</w:t>
            </w:r>
          </w:p>
        </w:tc>
        <w:tc>
          <w:tcPr>
            <w:tcW w:w="1789" w:type="dxa"/>
            <w:shd w:val="clear" w:color="auto" w:fill="auto"/>
            <w:vAlign w:val="center"/>
          </w:tcPr>
          <w:p>
            <w:pPr>
              <w:topLinePunct/>
              <w:adjustRightInd w:val="0"/>
              <w:snapToGrid w:val="0"/>
              <w:spacing w:before="50" w:after="50" w:line="300" w:lineRule="auto"/>
              <w:jc w:val="center"/>
              <w:rPr>
                <w:rFonts w:hint="eastAsia" w:ascii="黑体" w:hAnsi="黑体" w:eastAsia="黑体"/>
                <w:szCs w:val="21"/>
                <w:lang w:val="en-US" w:eastAsia="zh-CN"/>
              </w:rPr>
            </w:pPr>
            <w:r>
              <w:rPr>
                <w:rFonts w:hint="eastAsia" w:ascii="黑体" w:hAnsi="黑体" w:eastAsia="黑体"/>
                <w:szCs w:val="21"/>
                <w:lang w:val="en-US" w:eastAsia="zh-CN"/>
              </w:rPr>
              <w:t>2万</w:t>
            </w:r>
          </w:p>
        </w:tc>
      </w:tr>
      <w:tr>
        <w:tblPrEx>
          <w:tblBorders>
            <w:top w:val="single" w:color="000000" w:sz="2" w:space="0"/>
            <w:left w:val="single" w:color="000000" w:sz="2" w:space="0"/>
            <w:bottom w:val="single" w:color="000000" w:sz="2" w:space="0"/>
            <w:right w:val="single" w:color="000000" w:sz="2" w:space="0"/>
            <w:insideH w:val="single" w:color="000000" w:sz="6" w:space="0"/>
            <w:insideV w:val="single" w:color="000000" w:sz="6" w:space="0"/>
          </w:tblBorders>
          <w:tblCellMar>
            <w:top w:w="0" w:type="dxa"/>
            <w:left w:w="108" w:type="dxa"/>
            <w:bottom w:w="0" w:type="dxa"/>
            <w:right w:w="108" w:type="dxa"/>
          </w:tblCellMar>
        </w:tblPrEx>
        <w:trPr>
          <w:trHeight w:val="304" w:hRule="atLeast"/>
        </w:trPr>
        <w:tc>
          <w:tcPr>
            <w:tcW w:w="536"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rPr>
              <w:t>合计</w:t>
            </w:r>
          </w:p>
        </w:tc>
        <w:tc>
          <w:tcPr>
            <w:tcW w:w="770" w:type="pct"/>
            <w:shd w:val="clear" w:color="auto" w:fill="auto"/>
            <w:vAlign w:val="center"/>
          </w:tcPr>
          <w:p>
            <w:pPr>
              <w:topLinePunct/>
              <w:adjustRightInd w:val="0"/>
              <w:snapToGrid w:val="0"/>
              <w:spacing w:before="50" w:after="50" w:line="300" w:lineRule="auto"/>
              <w:jc w:val="center"/>
              <w:rPr>
                <w:rFonts w:ascii="黑体" w:hAnsi="黑体" w:eastAsia="黑体"/>
                <w:szCs w:val="21"/>
              </w:rPr>
            </w:pPr>
          </w:p>
        </w:tc>
        <w:tc>
          <w:tcPr>
            <w:tcW w:w="1449" w:type="pct"/>
            <w:shd w:val="clear" w:color="auto" w:fill="auto"/>
            <w:vAlign w:val="center"/>
          </w:tcPr>
          <w:p>
            <w:pPr>
              <w:topLinePunct/>
              <w:adjustRightInd w:val="0"/>
              <w:snapToGrid w:val="0"/>
              <w:spacing w:before="50" w:after="50" w:line="300" w:lineRule="auto"/>
              <w:jc w:val="center"/>
              <w:rPr>
                <w:rFonts w:ascii="黑体" w:hAnsi="黑体" w:eastAsia="黑体"/>
                <w:szCs w:val="21"/>
              </w:rPr>
            </w:pPr>
          </w:p>
        </w:tc>
        <w:tc>
          <w:tcPr>
            <w:tcW w:w="1243" w:type="pct"/>
            <w:shd w:val="clear" w:color="auto" w:fill="auto"/>
            <w:vAlign w:val="center"/>
          </w:tcPr>
          <w:p>
            <w:pPr>
              <w:topLinePunct/>
              <w:adjustRightInd w:val="0"/>
              <w:snapToGrid w:val="0"/>
              <w:spacing w:before="50" w:after="50" w:line="300" w:lineRule="auto"/>
              <w:jc w:val="left"/>
              <w:rPr>
                <w:rFonts w:ascii="黑体" w:hAnsi="黑体" w:eastAsia="黑体"/>
                <w:szCs w:val="21"/>
              </w:rPr>
            </w:pPr>
          </w:p>
        </w:tc>
        <w:tc>
          <w:tcPr>
            <w:tcW w:w="1000" w:type="pct"/>
            <w:shd w:val="clear" w:color="auto" w:fill="auto"/>
            <w:vAlign w:val="center"/>
          </w:tcPr>
          <w:p>
            <w:pPr>
              <w:topLinePunct/>
              <w:adjustRightInd w:val="0"/>
              <w:snapToGrid w:val="0"/>
              <w:spacing w:before="50" w:after="50" w:line="300" w:lineRule="auto"/>
              <w:jc w:val="center"/>
              <w:rPr>
                <w:rFonts w:ascii="黑体" w:hAnsi="黑体" w:eastAsia="黑体"/>
                <w:szCs w:val="21"/>
              </w:rPr>
            </w:pPr>
            <w:r>
              <w:rPr>
                <w:rFonts w:hint="eastAsia" w:ascii="黑体" w:hAnsi="黑体" w:eastAsia="黑体"/>
                <w:szCs w:val="21"/>
              </w:rPr>
              <w:t xml:space="preserve"> </w:t>
            </w:r>
            <w:r>
              <w:rPr>
                <w:rFonts w:hint="eastAsia" w:ascii="黑体" w:hAnsi="黑体" w:eastAsia="黑体"/>
                <w:szCs w:val="21"/>
                <w:lang w:val="en-US" w:eastAsia="zh-CN"/>
              </w:rPr>
              <w:t>49</w:t>
            </w:r>
            <w:r>
              <w:rPr>
                <w:rFonts w:hint="eastAsia" w:ascii="黑体" w:hAnsi="黑体" w:eastAsia="黑体"/>
                <w:szCs w:val="21"/>
              </w:rPr>
              <w:t>.4</w:t>
            </w:r>
            <w:r>
              <w:rPr>
                <w:rFonts w:hint="eastAsia" w:ascii="黑体" w:hAnsi="黑体" w:eastAsia="黑体"/>
                <w:szCs w:val="21"/>
                <w:lang w:val="en-US" w:eastAsia="zh-CN"/>
              </w:rPr>
              <w:t>3</w:t>
            </w:r>
            <w:r>
              <w:rPr>
                <w:rFonts w:hint="eastAsia" w:ascii="黑体" w:hAnsi="黑体" w:eastAsia="黑体"/>
                <w:szCs w:val="21"/>
              </w:rPr>
              <w:t>万元</w:t>
            </w:r>
          </w:p>
        </w:tc>
      </w:tr>
    </w:tbl>
    <w:p>
      <w:pPr>
        <w:spacing w:line="360" w:lineRule="auto"/>
        <w:ind w:firstLine="480" w:firstLineChars="200"/>
        <w:rPr>
          <w:rFonts w:ascii="宋体" w:cs="宋体"/>
          <w:color w:val="000000"/>
          <w:kern w:val="0"/>
          <w:sz w:val="24"/>
          <w:szCs w:val="24"/>
        </w:rPr>
      </w:pPr>
    </w:p>
    <w:p>
      <w:pPr>
        <w:rPr>
          <w:rFonts w:ascii="宋体" w:cs="宋体"/>
          <w:color w:val="000000"/>
          <w:kern w:val="0"/>
          <w:sz w:val="24"/>
          <w:szCs w:val="24"/>
        </w:rPr>
      </w:pPr>
      <w:r>
        <w:rPr>
          <w:rFonts w:hint="eastAsia" w:ascii="宋体" w:cs="宋体"/>
          <w:color w:val="000000"/>
          <w:kern w:val="0"/>
          <w:sz w:val="24"/>
          <w:szCs w:val="24"/>
        </w:rPr>
        <w:t>(2) 经济效益</w:t>
      </w:r>
    </w:p>
    <w:p>
      <w:pPr>
        <w:rPr>
          <w:rFonts w:ascii="宋体" w:cs="宋体"/>
          <w:b/>
          <w:sz w:val="23"/>
          <w:szCs w:val="23"/>
        </w:rPr>
      </w:pPr>
    </w:p>
    <w:tbl>
      <w:tblPr>
        <w:tblStyle w:val="39"/>
        <w:tblW w:w="8931" w:type="dxa"/>
        <w:tblInd w:w="-34" w:type="dxa"/>
        <w:tblBorders>
          <w:top w:val="single" w:color="4E6127" w:sz="4" w:space="0"/>
          <w:left w:val="single" w:color="4E6127" w:sz="4" w:space="0"/>
          <w:bottom w:val="single" w:color="4E6127" w:sz="4" w:space="0"/>
          <w:right w:val="single" w:color="4E6127" w:sz="4" w:space="0"/>
          <w:insideH w:val="single" w:color="4E6127" w:sz="4" w:space="0"/>
          <w:insideV w:val="single" w:color="4E6127" w:sz="4" w:space="0"/>
        </w:tblBorders>
        <w:tblLayout w:type="autofit"/>
        <w:tblCellMar>
          <w:top w:w="0" w:type="dxa"/>
          <w:left w:w="108" w:type="dxa"/>
          <w:bottom w:w="0" w:type="dxa"/>
          <w:right w:w="108" w:type="dxa"/>
        </w:tblCellMar>
      </w:tblPr>
      <w:tblGrid>
        <w:gridCol w:w="2723"/>
        <w:gridCol w:w="6208"/>
      </w:tblGrid>
      <w:tr>
        <w:tblPrEx>
          <w:tblBorders>
            <w:top w:val="single" w:color="4E6127" w:sz="4" w:space="0"/>
            <w:left w:val="single" w:color="4E6127" w:sz="4" w:space="0"/>
            <w:bottom w:val="single" w:color="4E6127" w:sz="4" w:space="0"/>
            <w:right w:val="single" w:color="4E6127" w:sz="4" w:space="0"/>
            <w:insideH w:val="single" w:color="4E6127" w:sz="4" w:space="0"/>
            <w:insideV w:val="single" w:color="4E6127" w:sz="4" w:space="0"/>
          </w:tblBorders>
          <w:tblCellMar>
            <w:top w:w="0" w:type="dxa"/>
            <w:left w:w="108" w:type="dxa"/>
            <w:bottom w:w="0" w:type="dxa"/>
            <w:right w:w="108" w:type="dxa"/>
          </w:tblCellMar>
        </w:tblPrEx>
        <w:trPr>
          <w:trHeight w:val="606" w:hRule="atLeast"/>
        </w:trPr>
        <w:tc>
          <w:tcPr>
            <w:tcW w:w="2723" w:type="dxa"/>
            <w:shd w:val="clear" w:color="auto" w:fill="548DD4" w:themeFill="text2" w:themeFillTint="99"/>
            <w:vAlign w:val="center"/>
          </w:tcPr>
          <w:p>
            <w:pPr>
              <w:widowControl/>
              <w:jc w:val="center"/>
              <w:rPr>
                <w:rFonts w:ascii="Times New Roman" w:hAnsi="Times New Roman" w:cs="Times New Roman" w:eastAsiaTheme="minorEastAsia"/>
                <w:b/>
                <w:bCs/>
                <w:color w:val="FFFFFF" w:themeColor="background1"/>
                <w:kern w:val="0"/>
                <w:szCs w:val="21"/>
              </w:rPr>
            </w:pPr>
            <w:r>
              <w:rPr>
                <w:rFonts w:ascii="Times New Roman" w:hAnsi="Times New Roman" w:cs="Times New Roman" w:eastAsiaTheme="minorEastAsia"/>
                <w:b/>
                <w:bCs/>
                <w:color w:val="FFFFFF" w:themeColor="background1"/>
                <w:kern w:val="0"/>
                <w:szCs w:val="21"/>
              </w:rPr>
              <w:t>指标名称</w:t>
            </w:r>
          </w:p>
        </w:tc>
        <w:tc>
          <w:tcPr>
            <w:tcW w:w="6208" w:type="dxa"/>
            <w:shd w:val="clear" w:color="auto" w:fill="548DD4" w:themeFill="text2" w:themeFillTint="99"/>
            <w:vAlign w:val="center"/>
          </w:tcPr>
          <w:p>
            <w:pPr>
              <w:widowControl/>
              <w:jc w:val="center"/>
              <w:rPr>
                <w:rFonts w:ascii="Times New Roman" w:hAnsi="Times New Roman" w:cs="Times New Roman" w:eastAsiaTheme="minorEastAsia"/>
                <w:b/>
                <w:bCs/>
                <w:color w:val="FFFFFF" w:themeColor="background1"/>
                <w:kern w:val="0"/>
                <w:szCs w:val="21"/>
              </w:rPr>
            </w:pPr>
            <w:r>
              <w:rPr>
                <w:rFonts w:hint="eastAsia" w:ascii="Times New Roman" w:hAnsi="Times New Roman" w:cs="Times New Roman" w:eastAsiaTheme="minorEastAsia"/>
                <w:b/>
                <w:bCs/>
                <w:color w:val="FFFFFF" w:themeColor="background1"/>
                <w:kern w:val="0"/>
                <w:szCs w:val="21"/>
              </w:rPr>
              <w:t>20</w:t>
            </w:r>
            <w:r>
              <w:rPr>
                <w:rFonts w:ascii="Times New Roman" w:hAnsi="Times New Roman" w:cs="Times New Roman" w:eastAsiaTheme="minorEastAsia"/>
                <w:b/>
                <w:bCs/>
                <w:color w:val="FFFFFF" w:themeColor="background1"/>
                <w:kern w:val="0"/>
                <w:szCs w:val="21"/>
              </w:rPr>
              <w:t>2</w:t>
            </w:r>
            <w:r>
              <w:rPr>
                <w:rFonts w:hint="eastAsia" w:ascii="Times New Roman" w:hAnsi="Times New Roman" w:cs="Times New Roman" w:eastAsiaTheme="minorEastAsia"/>
                <w:b/>
                <w:bCs/>
                <w:color w:val="FFFFFF" w:themeColor="background1"/>
                <w:kern w:val="0"/>
                <w:szCs w:val="21"/>
              </w:rPr>
              <w:t>1年效益</w:t>
            </w:r>
          </w:p>
        </w:tc>
      </w:tr>
      <w:tr>
        <w:tblPrEx>
          <w:tblBorders>
            <w:top w:val="single" w:color="4E6127" w:sz="4" w:space="0"/>
            <w:left w:val="single" w:color="4E6127" w:sz="4" w:space="0"/>
            <w:bottom w:val="single" w:color="4E6127" w:sz="4" w:space="0"/>
            <w:right w:val="single" w:color="4E6127" w:sz="4" w:space="0"/>
            <w:insideH w:val="single" w:color="4E6127" w:sz="4" w:space="0"/>
            <w:insideV w:val="single" w:color="4E6127" w:sz="4" w:space="0"/>
          </w:tblBorders>
          <w:tblCellMar>
            <w:top w:w="0" w:type="dxa"/>
            <w:left w:w="108" w:type="dxa"/>
            <w:bottom w:w="0" w:type="dxa"/>
            <w:right w:w="108" w:type="dxa"/>
          </w:tblCellMar>
        </w:tblPrEx>
        <w:trPr>
          <w:trHeight w:val="650" w:hRule="atLeast"/>
        </w:trPr>
        <w:tc>
          <w:tcPr>
            <w:tcW w:w="2723" w:type="dxa"/>
            <w:shd w:val="clear" w:color="auto" w:fill="auto"/>
            <w:vAlign w:val="center"/>
          </w:tcPr>
          <w:p>
            <w:pPr>
              <w:widowControl/>
              <w:jc w:val="center"/>
              <w:rPr>
                <w:rFonts w:ascii="Times New Roman" w:hAnsi="Times New Roman" w:cs="Times New Roman" w:eastAsiaTheme="minorEastAsia"/>
                <w:color w:val="000000"/>
                <w:kern w:val="0"/>
                <w:szCs w:val="21"/>
              </w:rPr>
            </w:pPr>
            <w:r>
              <w:rPr>
                <w:rFonts w:ascii="Times New Roman" w:hAnsi="Times New Roman" w:cs="Times New Roman" w:eastAsiaTheme="minorEastAsia"/>
                <w:color w:val="000000"/>
                <w:kern w:val="0"/>
                <w:szCs w:val="21"/>
              </w:rPr>
              <w:t>销售收入（万元）</w:t>
            </w:r>
          </w:p>
        </w:tc>
        <w:tc>
          <w:tcPr>
            <w:tcW w:w="6208" w:type="dxa"/>
            <w:shd w:val="clear" w:color="auto" w:fill="auto"/>
            <w:vAlign w:val="center"/>
          </w:tcPr>
          <w:p>
            <w:pPr>
              <w:widowControl/>
              <w:spacing w:line="219"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 xml:space="preserve"> 7298</w:t>
            </w:r>
          </w:p>
        </w:tc>
      </w:tr>
      <w:tr>
        <w:tblPrEx>
          <w:tblBorders>
            <w:top w:val="single" w:color="4E6127" w:sz="4" w:space="0"/>
            <w:left w:val="single" w:color="4E6127" w:sz="4" w:space="0"/>
            <w:bottom w:val="single" w:color="4E6127" w:sz="4" w:space="0"/>
            <w:right w:val="single" w:color="4E6127" w:sz="4" w:space="0"/>
            <w:insideH w:val="single" w:color="4E6127" w:sz="4" w:space="0"/>
            <w:insideV w:val="single" w:color="4E6127" w:sz="4" w:space="0"/>
          </w:tblBorders>
          <w:tblCellMar>
            <w:top w:w="0" w:type="dxa"/>
            <w:left w:w="108" w:type="dxa"/>
            <w:bottom w:w="0" w:type="dxa"/>
            <w:right w:w="108" w:type="dxa"/>
          </w:tblCellMar>
        </w:tblPrEx>
        <w:trPr>
          <w:trHeight w:val="650" w:hRule="atLeast"/>
        </w:trPr>
        <w:tc>
          <w:tcPr>
            <w:tcW w:w="2723" w:type="dxa"/>
            <w:shd w:val="clear" w:color="auto" w:fill="auto"/>
            <w:vAlign w:val="center"/>
          </w:tcPr>
          <w:p>
            <w:pPr>
              <w:widowControl/>
              <w:jc w:val="center"/>
              <w:rPr>
                <w:rFonts w:ascii="Times New Roman" w:hAnsi="Times New Roman" w:cs="Times New Roman" w:eastAsiaTheme="minorEastAsia"/>
                <w:color w:val="000000"/>
                <w:kern w:val="0"/>
                <w:szCs w:val="21"/>
              </w:rPr>
            </w:pPr>
            <w:r>
              <w:rPr>
                <w:rFonts w:hint="eastAsia" w:ascii="Times New Roman" w:hAnsi="Times New Roman" w:cs="Times New Roman" w:eastAsiaTheme="minorEastAsia"/>
                <w:color w:val="000000"/>
                <w:kern w:val="0"/>
                <w:szCs w:val="21"/>
              </w:rPr>
              <w:t>利润</w:t>
            </w:r>
            <w:r>
              <w:rPr>
                <w:rFonts w:ascii="Times New Roman" w:hAnsi="Times New Roman" w:cs="Times New Roman" w:eastAsiaTheme="minorEastAsia"/>
                <w:color w:val="000000"/>
                <w:kern w:val="0"/>
                <w:szCs w:val="21"/>
              </w:rPr>
              <w:t>（万元）</w:t>
            </w:r>
          </w:p>
        </w:tc>
        <w:tc>
          <w:tcPr>
            <w:tcW w:w="6208" w:type="dxa"/>
            <w:shd w:val="clear" w:color="auto" w:fill="auto"/>
            <w:vAlign w:val="center"/>
          </w:tcPr>
          <w:p>
            <w:pPr>
              <w:widowControl/>
              <w:spacing w:line="219" w:lineRule="atLeast"/>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 xml:space="preserve"> 665</w:t>
            </w:r>
          </w:p>
        </w:tc>
      </w:tr>
    </w:tbl>
    <w:p>
      <w:pPr>
        <w:rPr>
          <w:rFonts w:ascii="宋体" w:cs="宋体"/>
          <w:b/>
          <w:sz w:val="23"/>
          <w:szCs w:val="23"/>
        </w:rPr>
      </w:pPr>
    </w:p>
    <w:p>
      <w:pPr>
        <w:rPr>
          <w:rFonts w:ascii="宋体" w:cs="宋体"/>
          <w:b/>
          <w:sz w:val="23"/>
          <w:szCs w:val="23"/>
        </w:rPr>
      </w:pPr>
      <w:r>
        <w:rPr>
          <w:rFonts w:hint="eastAsia" w:ascii="宋体" w:cs="宋体"/>
          <w:b/>
          <w:sz w:val="23"/>
          <w:szCs w:val="23"/>
        </w:rPr>
        <w:t>(3) 技术开发</w:t>
      </w:r>
    </w:p>
    <w:p>
      <w:pPr>
        <w:spacing w:line="360" w:lineRule="auto"/>
        <w:ind w:firstLine="480" w:firstLineChars="200"/>
        <w:rPr>
          <w:sz w:val="24"/>
          <w:szCs w:val="24"/>
        </w:rPr>
      </w:pPr>
      <w:r>
        <w:rPr>
          <w:rFonts w:hint="eastAsia" w:ascii="宋体"/>
          <w:sz w:val="24"/>
          <w:szCs w:val="24"/>
        </w:rPr>
        <w:t>公司已制定技术创新战略及实施计划，实施差异化技术创新。公司高层积极引进国内优秀行业团队，提高资金保障，已取得国内领先的技术优势，</w:t>
      </w:r>
      <w:r>
        <w:rPr>
          <w:rFonts w:hint="eastAsia" w:ascii="宋体" w:hAnsi="宋体"/>
          <w:sz w:val="24"/>
          <w:szCs w:val="24"/>
        </w:rPr>
        <w:t>公司已被认定为</w:t>
      </w:r>
      <w:r>
        <w:rPr>
          <w:rFonts w:hint="eastAsia" w:ascii="宋体"/>
          <w:sz w:val="24"/>
          <w:szCs w:val="24"/>
        </w:rPr>
        <w:t>国家高新技术企业、省级技术研究中心</w:t>
      </w:r>
      <w:r>
        <w:rPr>
          <w:rFonts w:hint="eastAsia" w:ascii="宋体" w:hAnsi="宋体"/>
          <w:sz w:val="24"/>
          <w:szCs w:val="24"/>
        </w:rPr>
        <w:t>，</w:t>
      </w:r>
      <w:r>
        <w:rPr>
          <w:rFonts w:hint="eastAsia" w:ascii="宋体"/>
          <w:sz w:val="24"/>
          <w:szCs w:val="24"/>
        </w:rPr>
        <w:t>近3年来，公司获得10余项国家专利等科技成果，与先进企业和科研机构合作，及时引进或开发行业最前沿的技术。</w:t>
      </w:r>
    </w:p>
    <w:p>
      <w:pPr>
        <w:spacing w:line="360" w:lineRule="auto"/>
        <w:ind w:firstLine="480" w:firstLineChars="200"/>
        <w:jc w:val="center"/>
        <w:rPr>
          <w:rFonts w:ascii="Times New Roman" w:hAnsi="Times New Roman" w:cs="Times New Roman"/>
          <w:b/>
          <w:sz w:val="24"/>
          <w:szCs w:val="24"/>
        </w:rPr>
      </w:pPr>
      <w:r>
        <w:rPr>
          <w:rFonts w:ascii="Times New Roman" w:hAnsi="Times New Roman" w:cs="Times New Roman"/>
          <w:sz w:val="24"/>
          <w:szCs w:val="24"/>
        </w:rPr>
        <w:t>202</w:t>
      </w:r>
      <w:r>
        <w:rPr>
          <w:rFonts w:hint="eastAsia" w:ascii="Times New Roman" w:hAnsi="Times New Roman" w:cs="Times New Roman"/>
          <w:sz w:val="24"/>
          <w:szCs w:val="24"/>
        </w:rPr>
        <w:t>1</w:t>
      </w:r>
      <w:r>
        <w:rPr>
          <w:rFonts w:ascii="Times New Roman" w:hAnsi="Times New Roman" w:cs="Times New Roman"/>
          <w:sz w:val="24"/>
          <w:szCs w:val="24"/>
        </w:rPr>
        <w:t>年研发投入和知识产权</w:t>
      </w:r>
      <w:bookmarkEnd w:id="4"/>
      <w:bookmarkEnd w:id="5"/>
      <w:bookmarkStart w:id="6" w:name="_Toc451610993"/>
      <w:bookmarkStart w:id="7" w:name="_Toc451610900"/>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75"/>
        <w:gridCol w:w="3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375" w:type="dxa"/>
            <w:shd w:val="clear" w:color="auto" w:fill="548DD4" w:themeFill="text2" w:themeFillTint="99"/>
          </w:tcPr>
          <w:p>
            <w:pPr>
              <w:widowControl/>
              <w:spacing w:line="360" w:lineRule="auto"/>
              <w:jc w:val="center"/>
              <w:rPr>
                <w:rFonts w:ascii="Times New Roman" w:hAnsi="Times New Roman" w:cs="Times New Roman"/>
                <w:b/>
                <w:color w:val="FFFFFF" w:themeColor="background1"/>
                <w:kern w:val="0"/>
                <w:szCs w:val="21"/>
              </w:rPr>
            </w:pPr>
            <w:r>
              <w:rPr>
                <w:rFonts w:ascii="Times New Roman" w:hAnsi="Times New Roman" w:cs="Times New Roman"/>
                <w:b/>
                <w:color w:val="FFFFFF" w:themeColor="background1"/>
                <w:kern w:val="0"/>
                <w:szCs w:val="21"/>
              </w:rPr>
              <w:t>项目</w:t>
            </w:r>
          </w:p>
        </w:tc>
        <w:tc>
          <w:tcPr>
            <w:tcW w:w="3760" w:type="dxa"/>
            <w:shd w:val="clear" w:color="auto" w:fill="548DD4" w:themeFill="text2" w:themeFillTint="99"/>
          </w:tcPr>
          <w:p>
            <w:pPr>
              <w:widowControl/>
              <w:spacing w:line="360" w:lineRule="auto"/>
              <w:jc w:val="center"/>
              <w:rPr>
                <w:rFonts w:ascii="Times New Roman" w:hAnsi="Times New Roman" w:cs="Times New Roman"/>
                <w:b/>
                <w:color w:val="FFFFFF" w:themeColor="background1"/>
                <w:szCs w:val="21"/>
              </w:rPr>
            </w:pPr>
            <w:r>
              <w:rPr>
                <w:rFonts w:ascii="Times New Roman" w:hAnsi="Times New Roman" w:cs="Times New Roman"/>
                <w:b/>
                <w:color w:val="FFFFFF" w:themeColor="background1"/>
                <w:szCs w:val="21"/>
              </w:rPr>
              <w:t>202</w:t>
            </w:r>
            <w:r>
              <w:rPr>
                <w:rFonts w:hint="eastAsia" w:ascii="Times New Roman" w:hAnsi="Times New Roman" w:cs="Times New Roman"/>
                <w:b/>
                <w:color w:val="FFFFFF" w:themeColor="background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375" w:type="dxa"/>
          </w:tcPr>
          <w:p>
            <w:pPr>
              <w:widowControl/>
              <w:spacing w:line="360" w:lineRule="auto"/>
              <w:jc w:val="center"/>
              <w:rPr>
                <w:rFonts w:ascii="Times New Roman" w:hAnsi="Times New Roman" w:cs="Times New Roman"/>
                <w:szCs w:val="21"/>
              </w:rPr>
            </w:pPr>
            <w:r>
              <w:rPr>
                <w:rFonts w:ascii="Times New Roman" w:hAnsi="Times New Roman" w:cs="Times New Roman"/>
                <w:szCs w:val="21"/>
              </w:rPr>
              <w:t>研发投入（万元）</w:t>
            </w:r>
          </w:p>
        </w:tc>
        <w:tc>
          <w:tcPr>
            <w:tcW w:w="3760" w:type="dxa"/>
            <w:vAlign w:val="center"/>
          </w:tcPr>
          <w:p>
            <w:pPr>
              <w:widowControl/>
              <w:spacing w:line="360" w:lineRule="auto"/>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4375" w:type="dxa"/>
          </w:tcPr>
          <w:p>
            <w:pPr>
              <w:widowControl/>
              <w:spacing w:line="360" w:lineRule="auto"/>
              <w:jc w:val="center"/>
              <w:rPr>
                <w:rFonts w:ascii="Times New Roman" w:hAnsi="Times New Roman" w:cs="Times New Roman"/>
                <w:szCs w:val="21"/>
              </w:rPr>
            </w:pPr>
            <w:r>
              <w:rPr>
                <w:rFonts w:ascii="Times New Roman" w:hAnsi="Times New Roman" w:cs="Times New Roman"/>
                <w:szCs w:val="21"/>
              </w:rPr>
              <w:t>销售额（万元）</w:t>
            </w:r>
          </w:p>
        </w:tc>
        <w:tc>
          <w:tcPr>
            <w:tcW w:w="3760" w:type="dxa"/>
            <w:vAlign w:val="center"/>
          </w:tcPr>
          <w:p>
            <w:pPr>
              <w:widowControl/>
              <w:spacing w:line="360" w:lineRule="auto"/>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7298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375" w:type="dxa"/>
          </w:tcPr>
          <w:p>
            <w:pPr>
              <w:widowControl/>
              <w:spacing w:line="360" w:lineRule="auto"/>
              <w:jc w:val="center"/>
              <w:rPr>
                <w:rFonts w:ascii="Times New Roman" w:hAnsi="Times New Roman" w:cs="Times New Roman"/>
                <w:szCs w:val="21"/>
              </w:rPr>
            </w:pPr>
            <w:r>
              <w:rPr>
                <w:rFonts w:ascii="Times New Roman" w:hAnsi="Times New Roman" w:cs="Times New Roman"/>
                <w:szCs w:val="21"/>
              </w:rPr>
              <w:t>研发投入占比 %</w:t>
            </w:r>
          </w:p>
        </w:tc>
        <w:tc>
          <w:tcPr>
            <w:tcW w:w="3760" w:type="dxa"/>
            <w:vAlign w:val="center"/>
          </w:tcPr>
          <w:p>
            <w:pPr>
              <w:widowControl/>
              <w:spacing w:line="360" w:lineRule="auto"/>
              <w:jc w:val="center"/>
              <w:rPr>
                <w:rFonts w:hint="eastAsia" w:ascii="Times New Roman" w:hAnsi="Times New Roman" w:cs="Times New Roman" w:eastAsiaTheme="minorEastAsia"/>
                <w:color w:val="000000"/>
                <w:szCs w:val="21"/>
                <w:lang w:eastAsia="zh-CN"/>
              </w:rPr>
            </w:pPr>
            <w:r>
              <w:rPr>
                <w:rFonts w:hint="eastAsia" w:ascii="Times New Roman" w:hAnsi="Times New Roman" w:cs="Times New Roman" w:eastAsiaTheme="minorEastAsia"/>
                <w:color w:val="000000"/>
                <w:szCs w:val="21"/>
                <w:lang w:val="en-US" w:eastAsia="zh-CN"/>
              </w:rPr>
              <w:t>4.31</w:t>
            </w:r>
            <w:r>
              <w:rPr>
                <w:rFonts w:hint="eastAsia" w:ascii="Times New Roman" w:hAnsi="Times New Roman" w:cs="Times New Roman" w:eastAsiaTheme="minorEastAsia"/>
                <w:color w:val="000000"/>
                <w:szCs w:val="21"/>
              </w:rPr>
              <w:t xml:space="preserve"> </w:t>
            </w:r>
            <w:r>
              <w:rPr>
                <w:rFonts w:hint="eastAsia" w:ascii="Times New Roman" w:hAnsi="Times New Roman" w:cs="Times New Roman" w:eastAsiaTheme="minorEastAsia"/>
                <w:color w:val="000000"/>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4375" w:type="dxa"/>
            <w:vAlign w:val="center"/>
          </w:tcPr>
          <w:p>
            <w:pPr>
              <w:widowControl/>
              <w:jc w:val="center"/>
              <w:rPr>
                <w:rFonts w:ascii="Times New Roman" w:hAnsi="Times New Roman" w:cs="Times New Roman" w:eastAsiaTheme="minorEastAsia"/>
                <w:color w:val="000000"/>
                <w:kern w:val="0"/>
                <w:szCs w:val="21"/>
              </w:rPr>
            </w:pPr>
            <w:r>
              <w:rPr>
                <w:rFonts w:hint="eastAsia" w:ascii="Times New Roman" w:hAnsi="Times New Roman" w:cs="Times New Roman" w:eastAsiaTheme="minorEastAsia"/>
                <w:color w:val="000000"/>
                <w:kern w:val="0"/>
                <w:szCs w:val="21"/>
              </w:rPr>
              <w:t>利润</w:t>
            </w:r>
            <w:r>
              <w:rPr>
                <w:rFonts w:ascii="Times New Roman" w:hAnsi="Times New Roman" w:cs="Times New Roman" w:eastAsiaTheme="minorEastAsia"/>
                <w:color w:val="000000"/>
                <w:kern w:val="0"/>
                <w:szCs w:val="21"/>
              </w:rPr>
              <w:t>（万元）</w:t>
            </w:r>
          </w:p>
        </w:tc>
        <w:tc>
          <w:tcPr>
            <w:tcW w:w="3760" w:type="dxa"/>
            <w:vAlign w:val="center"/>
          </w:tcPr>
          <w:p>
            <w:pPr>
              <w:widowControl/>
              <w:spacing w:line="360" w:lineRule="auto"/>
              <w:jc w:val="center"/>
              <w:rPr>
                <w:rFonts w:hint="default" w:ascii="Times New Roman" w:hAnsi="Times New Roman" w:cs="Times New Roman" w:eastAsiaTheme="minorEastAsia"/>
                <w:color w:val="000000"/>
                <w:szCs w:val="21"/>
                <w:lang w:val="en-US" w:eastAsia="zh-CN"/>
              </w:rPr>
            </w:pPr>
            <w:r>
              <w:rPr>
                <w:rFonts w:hint="eastAsia" w:ascii="Times New Roman" w:hAnsi="Times New Roman" w:cs="Times New Roman" w:eastAsiaTheme="minorEastAsia"/>
                <w:color w:val="000000"/>
                <w:szCs w:val="21"/>
                <w:lang w:val="en-US" w:eastAsia="zh-CN"/>
              </w:rPr>
              <w:t xml:space="preserve"> 665</w:t>
            </w:r>
          </w:p>
        </w:tc>
      </w:tr>
      <w:bookmarkEnd w:id="6"/>
      <w:bookmarkEnd w:id="7"/>
    </w:tbl>
    <w:p>
      <w:pPr>
        <w:widowControl/>
        <w:jc w:val="left"/>
        <w:rPr>
          <w:rFonts w:ascii="宋体" w:cs="Helvetica"/>
          <w:b/>
          <w:bCs/>
          <w:color w:val="000000"/>
          <w:kern w:val="0"/>
          <w:sz w:val="24"/>
          <w:szCs w:val="24"/>
        </w:rPr>
      </w:pPr>
    </w:p>
    <w:p>
      <w:pPr>
        <w:rPr>
          <w:rFonts w:ascii="宋体" w:cs="宋体"/>
          <w:b/>
          <w:sz w:val="23"/>
          <w:szCs w:val="23"/>
        </w:rPr>
      </w:pPr>
      <w:r>
        <w:rPr>
          <w:rFonts w:hint="eastAsia" w:ascii="宋体" w:cs="宋体"/>
          <w:b/>
          <w:sz w:val="23"/>
          <w:szCs w:val="23"/>
        </w:rPr>
        <w:t>(</w:t>
      </w:r>
      <w:r>
        <w:rPr>
          <w:rFonts w:ascii="宋体" w:cs="宋体"/>
          <w:b/>
          <w:sz w:val="23"/>
          <w:szCs w:val="23"/>
        </w:rPr>
        <w:t>4</w:t>
      </w:r>
      <w:r>
        <w:rPr>
          <w:rFonts w:hint="eastAsia" w:ascii="宋体" w:cs="宋体"/>
          <w:b/>
          <w:sz w:val="23"/>
          <w:szCs w:val="23"/>
        </w:rPr>
        <w:t>) 社会荣誉</w:t>
      </w:r>
    </w:p>
    <w:p>
      <w:pPr>
        <w:rPr>
          <w:rFonts w:ascii="宋体" w:cs="宋体"/>
          <w:b/>
          <w:sz w:val="23"/>
          <w:szCs w:val="23"/>
        </w:rPr>
      </w:pPr>
    </w:p>
    <w:tbl>
      <w:tblPr>
        <w:tblStyle w:val="39"/>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50"/>
        <w:gridCol w:w="3100"/>
        <w:gridCol w:w="255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688" w:type="dxa"/>
            <w:shd w:val="clear" w:color="auto" w:fill="548DD4" w:themeFill="text2" w:themeFillTint="99"/>
            <w:vAlign w:val="center"/>
          </w:tcPr>
          <w:p>
            <w:pPr>
              <w:autoSpaceDE w:val="0"/>
              <w:autoSpaceDN w:val="0"/>
              <w:adjustRightInd w:val="0"/>
              <w:spacing w:line="360" w:lineRule="auto"/>
              <w:jc w:val="center"/>
              <w:rPr>
                <w:rFonts w:ascii="Times New Roman" w:hAnsi="Times New Roman" w:cs="Times New Roman"/>
                <w:b/>
                <w:color w:val="FFFFFF" w:themeColor="background1"/>
                <w:kern w:val="0"/>
                <w:szCs w:val="21"/>
              </w:rPr>
            </w:pPr>
            <w:r>
              <w:rPr>
                <w:rFonts w:ascii="Times New Roman" w:hAnsi="Times New Roman" w:cs="Times New Roman"/>
                <w:b/>
                <w:color w:val="FFFFFF" w:themeColor="background1"/>
                <w:kern w:val="0"/>
                <w:szCs w:val="21"/>
              </w:rPr>
              <w:t>序号</w:t>
            </w:r>
          </w:p>
        </w:tc>
        <w:tc>
          <w:tcPr>
            <w:tcW w:w="850" w:type="dxa"/>
            <w:shd w:val="clear" w:color="auto" w:fill="548DD4" w:themeFill="text2" w:themeFillTint="99"/>
            <w:vAlign w:val="center"/>
          </w:tcPr>
          <w:p>
            <w:pPr>
              <w:autoSpaceDE w:val="0"/>
              <w:autoSpaceDN w:val="0"/>
              <w:adjustRightInd w:val="0"/>
              <w:spacing w:line="360" w:lineRule="auto"/>
              <w:jc w:val="center"/>
              <w:rPr>
                <w:rFonts w:hint="eastAsia" w:ascii="Times New Roman" w:hAnsi="Times New Roman" w:eastAsia="宋体" w:cs="Times New Roman"/>
                <w:b/>
                <w:color w:val="FFFFFF" w:themeColor="background1"/>
                <w:kern w:val="0"/>
                <w:szCs w:val="21"/>
                <w:lang w:val="en-US" w:eastAsia="zh-CN"/>
              </w:rPr>
            </w:pPr>
            <w:r>
              <w:rPr>
                <w:rFonts w:hint="eastAsia" w:ascii="Times New Roman" w:hAnsi="Times New Roman" w:cs="Times New Roman"/>
                <w:b/>
                <w:color w:val="FFFFFF" w:themeColor="background1"/>
                <w:kern w:val="0"/>
                <w:szCs w:val="21"/>
                <w:lang w:val="en-US" w:eastAsia="zh-CN"/>
              </w:rPr>
              <w:t>年份</w:t>
            </w:r>
          </w:p>
        </w:tc>
        <w:tc>
          <w:tcPr>
            <w:tcW w:w="3100" w:type="dxa"/>
            <w:shd w:val="clear" w:color="auto" w:fill="548DD4" w:themeFill="text2" w:themeFillTint="99"/>
            <w:vAlign w:val="center"/>
          </w:tcPr>
          <w:p>
            <w:pPr>
              <w:autoSpaceDE w:val="0"/>
              <w:autoSpaceDN w:val="0"/>
              <w:adjustRightInd w:val="0"/>
              <w:spacing w:line="360" w:lineRule="auto"/>
              <w:jc w:val="center"/>
              <w:rPr>
                <w:rFonts w:ascii="Times New Roman" w:hAnsi="Times New Roman" w:cs="Times New Roman"/>
                <w:b/>
                <w:color w:val="FFFFFF" w:themeColor="background1"/>
                <w:kern w:val="0"/>
                <w:szCs w:val="21"/>
              </w:rPr>
            </w:pPr>
            <w:r>
              <w:rPr>
                <w:rFonts w:hint="eastAsia" w:ascii="Times New Roman" w:hAnsi="Times New Roman" w:cs="Times New Roman"/>
                <w:b/>
                <w:color w:val="FFFFFF" w:themeColor="background1"/>
                <w:kern w:val="0"/>
                <w:szCs w:val="21"/>
              </w:rPr>
              <w:t>颁发机构</w:t>
            </w:r>
          </w:p>
        </w:tc>
        <w:tc>
          <w:tcPr>
            <w:tcW w:w="2551" w:type="dxa"/>
            <w:shd w:val="clear" w:color="auto" w:fill="548DD4" w:themeFill="text2" w:themeFillTint="99"/>
            <w:vAlign w:val="center"/>
          </w:tcPr>
          <w:p>
            <w:pPr>
              <w:autoSpaceDE w:val="0"/>
              <w:autoSpaceDN w:val="0"/>
              <w:adjustRightInd w:val="0"/>
              <w:spacing w:line="360" w:lineRule="auto"/>
              <w:jc w:val="center"/>
              <w:rPr>
                <w:rFonts w:ascii="Times New Roman" w:hAnsi="Times New Roman" w:cs="Times New Roman"/>
                <w:b/>
                <w:color w:val="FFFFFF" w:themeColor="background1"/>
                <w:kern w:val="0"/>
                <w:szCs w:val="21"/>
              </w:rPr>
            </w:pPr>
            <w:r>
              <w:rPr>
                <w:rFonts w:ascii="Times New Roman" w:hAnsi="Times New Roman" w:cs="Times New Roman"/>
                <w:b/>
                <w:color w:val="FFFFFF" w:themeColor="background1"/>
                <w:kern w:val="0"/>
                <w:szCs w:val="21"/>
              </w:rPr>
              <w:t>获得成果</w:t>
            </w:r>
          </w:p>
        </w:tc>
        <w:tc>
          <w:tcPr>
            <w:tcW w:w="1143" w:type="dxa"/>
            <w:shd w:val="clear" w:color="auto" w:fill="548DD4" w:themeFill="text2" w:themeFillTint="99"/>
            <w:vAlign w:val="center"/>
          </w:tcPr>
          <w:p>
            <w:pPr>
              <w:autoSpaceDE w:val="0"/>
              <w:autoSpaceDN w:val="0"/>
              <w:adjustRightInd w:val="0"/>
              <w:spacing w:line="360" w:lineRule="auto"/>
              <w:jc w:val="center"/>
              <w:rPr>
                <w:rFonts w:ascii="Times New Roman" w:hAnsi="Times New Roman" w:cs="Times New Roman"/>
                <w:b/>
                <w:color w:val="FFFFFF" w:themeColor="background1"/>
                <w:kern w:val="0"/>
                <w:szCs w:val="21"/>
              </w:rPr>
            </w:pPr>
            <w:r>
              <w:rPr>
                <w:rFonts w:hint="eastAsia" w:ascii="Times New Roman" w:hAnsi="Times New Roman" w:cs="Times New Roman"/>
                <w:b/>
                <w:color w:val="FFFFFF" w:themeColor="background1"/>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8" w:type="dxa"/>
            <w:vAlign w:val="center"/>
          </w:tcPr>
          <w:p>
            <w:pPr>
              <w:jc w:val="center"/>
              <w:rPr>
                <w:rFonts w:ascii="宋体" w:hAnsi="宋体" w:cs="宋体"/>
                <w:color w:val="000000"/>
                <w:sz w:val="24"/>
                <w:szCs w:val="24"/>
              </w:rPr>
            </w:pPr>
            <w:r>
              <w:rPr>
                <w:rFonts w:hint="eastAsia"/>
                <w:color w:val="000000"/>
              </w:rPr>
              <w:t>1</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2017</w:t>
            </w:r>
          </w:p>
        </w:tc>
        <w:tc>
          <w:tcPr>
            <w:tcW w:w="310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义乌市市场监督管理局</w:t>
            </w:r>
          </w:p>
        </w:tc>
        <w:tc>
          <w:tcPr>
            <w:tcW w:w="2551"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化妆品生产企业质量信用评定A级企业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8" w:type="dxa"/>
            <w:vAlign w:val="center"/>
          </w:tcPr>
          <w:p>
            <w:pPr>
              <w:jc w:val="center"/>
              <w:rPr>
                <w:rFonts w:ascii="宋体" w:hAnsi="宋体" w:cs="宋体"/>
                <w:color w:val="000000"/>
                <w:sz w:val="24"/>
                <w:szCs w:val="24"/>
              </w:rPr>
            </w:pPr>
            <w:r>
              <w:rPr>
                <w:rFonts w:hint="eastAsia"/>
                <w:color w:val="000000"/>
              </w:rPr>
              <w:t>2</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2018</w:t>
            </w:r>
          </w:p>
        </w:tc>
        <w:tc>
          <w:tcPr>
            <w:tcW w:w="3100"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义乌市市场监督管理局</w:t>
            </w:r>
          </w:p>
        </w:tc>
        <w:tc>
          <w:tcPr>
            <w:tcW w:w="2551"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化妆品生产企业质量信用评定A级企业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8" w:type="dxa"/>
            <w:vAlign w:val="center"/>
          </w:tcPr>
          <w:p>
            <w:pPr>
              <w:jc w:val="center"/>
              <w:rPr>
                <w:rFonts w:ascii="宋体" w:hAnsi="宋体" w:cs="宋体"/>
                <w:color w:val="000000"/>
                <w:sz w:val="24"/>
                <w:szCs w:val="24"/>
              </w:rPr>
            </w:pPr>
            <w:r>
              <w:rPr>
                <w:rFonts w:hint="eastAsia"/>
                <w:color w:val="000000"/>
              </w:rPr>
              <w:t>3</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2019</w:t>
            </w:r>
          </w:p>
        </w:tc>
        <w:tc>
          <w:tcPr>
            <w:tcW w:w="3100"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义乌市市场监督管理局</w:t>
            </w:r>
          </w:p>
        </w:tc>
        <w:tc>
          <w:tcPr>
            <w:tcW w:w="2551"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化妆品生产企业质量信用评定A级企业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8" w:type="dxa"/>
            <w:vAlign w:val="center"/>
          </w:tcPr>
          <w:p>
            <w:pPr>
              <w:jc w:val="center"/>
              <w:rPr>
                <w:rFonts w:ascii="宋体" w:hAnsi="宋体" w:cs="宋体"/>
                <w:color w:val="000000"/>
                <w:sz w:val="24"/>
                <w:szCs w:val="24"/>
              </w:rPr>
            </w:pPr>
            <w:r>
              <w:rPr>
                <w:rFonts w:hint="eastAsia"/>
                <w:color w:val="000000"/>
              </w:rPr>
              <w:t>4</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2017</w:t>
            </w:r>
          </w:p>
        </w:tc>
        <w:tc>
          <w:tcPr>
            <w:tcW w:w="310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义乌市人民政府</w:t>
            </w:r>
          </w:p>
        </w:tc>
        <w:tc>
          <w:tcPr>
            <w:tcW w:w="2551"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工业亩产效益综合评价A类企业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88" w:type="dxa"/>
            <w:vAlign w:val="center"/>
          </w:tcPr>
          <w:p>
            <w:pPr>
              <w:jc w:val="center"/>
              <w:rPr>
                <w:rFonts w:ascii="宋体" w:hAnsi="宋体" w:cs="宋体"/>
                <w:color w:val="000000"/>
                <w:sz w:val="24"/>
                <w:szCs w:val="24"/>
              </w:rPr>
            </w:pPr>
            <w:r>
              <w:rPr>
                <w:rFonts w:hint="eastAsia"/>
                <w:color w:val="000000"/>
              </w:rPr>
              <w:t>5</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2018</w:t>
            </w:r>
          </w:p>
        </w:tc>
        <w:tc>
          <w:tcPr>
            <w:tcW w:w="3100"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义乌市人民政府</w:t>
            </w:r>
          </w:p>
        </w:tc>
        <w:tc>
          <w:tcPr>
            <w:tcW w:w="2551"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工业亩产效益综合评价A类企业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8" w:type="dxa"/>
            <w:vAlign w:val="center"/>
          </w:tcPr>
          <w:p>
            <w:pPr>
              <w:jc w:val="center"/>
              <w:rPr>
                <w:rFonts w:ascii="宋体" w:hAnsi="宋体" w:cs="宋体"/>
                <w:color w:val="000000"/>
                <w:sz w:val="24"/>
                <w:szCs w:val="24"/>
              </w:rPr>
            </w:pPr>
            <w:r>
              <w:rPr>
                <w:rFonts w:hint="eastAsia"/>
                <w:color w:val="000000"/>
              </w:rPr>
              <w:t>6</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2019</w:t>
            </w:r>
          </w:p>
        </w:tc>
        <w:tc>
          <w:tcPr>
            <w:tcW w:w="3100"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义乌市人民政府</w:t>
            </w:r>
          </w:p>
        </w:tc>
        <w:tc>
          <w:tcPr>
            <w:tcW w:w="2551"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工业亩产效益综合评价A类企业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88" w:type="dxa"/>
            <w:vAlign w:val="center"/>
          </w:tcPr>
          <w:p>
            <w:pPr>
              <w:jc w:val="center"/>
              <w:rPr>
                <w:rFonts w:ascii="宋体" w:hAnsi="宋体" w:cs="宋体"/>
                <w:color w:val="000000"/>
                <w:sz w:val="24"/>
                <w:szCs w:val="24"/>
              </w:rPr>
            </w:pPr>
            <w:r>
              <w:rPr>
                <w:rFonts w:hint="eastAsia"/>
                <w:color w:val="000000"/>
              </w:rPr>
              <w:t>7</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2019</w:t>
            </w:r>
          </w:p>
        </w:tc>
        <w:tc>
          <w:tcPr>
            <w:tcW w:w="310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义乌市应急管理局</w:t>
            </w:r>
          </w:p>
        </w:tc>
        <w:tc>
          <w:tcPr>
            <w:tcW w:w="2551"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安全生产标准化三级企业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8" w:type="dxa"/>
            <w:vAlign w:val="center"/>
          </w:tcPr>
          <w:p>
            <w:pPr>
              <w:jc w:val="center"/>
              <w:rPr>
                <w:rFonts w:ascii="宋体" w:hAnsi="宋体" w:cs="宋体"/>
                <w:color w:val="000000"/>
                <w:sz w:val="24"/>
                <w:szCs w:val="24"/>
              </w:rPr>
            </w:pPr>
            <w:r>
              <w:rPr>
                <w:rFonts w:hint="eastAsia"/>
                <w:color w:val="000000"/>
              </w:rPr>
              <w:t>8</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2020</w:t>
            </w:r>
          </w:p>
        </w:tc>
        <w:tc>
          <w:tcPr>
            <w:tcW w:w="3100" w:type="dxa"/>
            <w:vAlign w:val="center"/>
          </w:tcPr>
          <w:p>
            <w:pPr>
              <w:jc w:val="center"/>
              <w:rPr>
                <w:rFonts w:ascii="宋体" w:hAnsi="宋体" w:cs="宋体"/>
                <w:color w:val="000000"/>
                <w:sz w:val="22"/>
              </w:rPr>
            </w:pPr>
            <w:r>
              <w:rPr>
                <w:rFonts w:hint="eastAsia" w:ascii="宋体" w:hAnsi="宋体" w:cs="宋体"/>
                <w:color w:val="000000"/>
                <w:sz w:val="22"/>
                <w:lang w:val="en-US" w:eastAsia="zh-CN"/>
              </w:rPr>
              <w:t>义乌市市场监督管理局</w:t>
            </w:r>
          </w:p>
        </w:tc>
        <w:tc>
          <w:tcPr>
            <w:tcW w:w="2551"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满意消费长三角行动放心消费单位</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88" w:type="dxa"/>
            <w:vAlign w:val="center"/>
          </w:tcPr>
          <w:p>
            <w:pPr>
              <w:jc w:val="center"/>
              <w:rPr>
                <w:rFonts w:ascii="宋体" w:hAnsi="宋体" w:cs="宋体"/>
                <w:color w:val="000000"/>
                <w:sz w:val="24"/>
                <w:szCs w:val="24"/>
              </w:rPr>
            </w:pPr>
            <w:r>
              <w:rPr>
                <w:rFonts w:hint="eastAsia"/>
                <w:color w:val="000000"/>
              </w:rPr>
              <w:t>9</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2019</w:t>
            </w:r>
          </w:p>
        </w:tc>
        <w:tc>
          <w:tcPr>
            <w:tcW w:w="310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浙江省科学技术厅</w:t>
            </w:r>
          </w:p>
        </w:tc>
        <w:tc>
          <w:tcPr>
            <w:tcW w:w="2551"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高新技术企业证书</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8" w:type="dxa"/>
            <w:vAlign w:val="center"/>
          </w:tcPr>
          <w:p>
            <w:pPr>
              <w:jc w:val="center"/>
              <w:rPr>
                <w:rFonts w:ascii="宋体" w:hAnsi="宋体" w:cs="宋体"/>
                <w:color w:val="000000"/>
                <w:sz w:val="24"/>
                <w:szCs w:val="24"/>
              </w:rPr>
            </w:pPr>
            <w:r>
              <w:rPr>
                <w:rFonts w:hint="eastAsia"/>
                <w:color w:val="000000"/>
              </w:rPr>
              <w:t>10</w:t>
            </w:r>
          </w:p>
        </w:tc>
        <w:tc>
          <w:tcPr>
            <w:tcW w:w="850"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2019</w:t>
            </w:r>
          </w:p>
        </w:tc>
        <w:tc>
          <w:tcPr>
            <w:tcW w:w="3100" w:type="dxa"/>
            <w:vAlign w:val="center"/>
          </w:tcPr>
          <w:p>
            <w:pPr>
              <w:jc w:val="center"/>
              <w:rPr>
                <w:rFonts w:ascii="宋体" w:hAnsi="宋体" w:cs="宋体"/>
                <w:color w:val="000000"/>
                <w:sz w:val="22"/>
              </w:rPr>
            </w:pPr>
            <w:r>
              <w:rPr>
                <w:rFonts w:hint="eastAsia" w:ascii="宋体" w:hAnsi="宋体" w:cs="宋体"/>
                <w:color w:val="000000"/>
                <w:sz w:val="22"/>
                <w:lang w:val="en-US" w:eastAsia="zh-CN"/>
              </w:rPr>
              <w:t>浙江省保健品化妆品行业协会</w:t>
            </w:r>
          </w:p>
        </w:tc>
        <w:tc>
          <w:tcPr>
            <w:tcW w:w="2551" w:type="dxa"/>
            <w:vAlign w:val="center"/>
          </w:tcPr>
          <w:p>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浙江省保健品化妆品行业协会理事单位</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88" w:type="dxa"/>
            <w:vAlign w:val="center"/>
          </w:tcPr>
          <w:p>
            <w:pPr>
              <w:jc w:val="center"/>
              <w:rPr>
                <w:rFonts w:ascii="宋体" w:hAnsi="宋体" w:cs="宋体"/>
                <w:color w:val="000000"/>
                <w:sz w:val="24"/>
                <w:szCs w:val="24"/>
              </w:rPr>
            </w:pPr>
            <w:r>
              <w:rPr>
                <w:rFonts w:hint="eastAsia"/>
                <w:color w:val="000000"/>
              </w:rPr>
              <w:t>11</w:t>
            </w:r>
          </w:p>
        </w:tc>
        <w:tc>
          <w:tcPr>
            <w:tcW w:w="850"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2017</w:t>
            </w:r>
          </w:p>
        </w:tc>
        <w:tc>
          <w:tcPr>
            <w:tcW w:w="3100" w:type="dxa"/>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cs="宋体"/>
                <w:color w:val="000000"/>
                <w:sz w:val="22"/>
                <w:lang w:val="en-US" w:eastAsia="zh-CN"/>
              </w:rPr>
              <w:t>浙江省科学技术厅</w:t>
            </w:r>
          </w:p>
        </w:tc>
        <w:tc>
          <w:tcPr>
            <w:tcW w:w="2551" w:type="dxa"/>
            <w:vAlign w:val="center"/>
          </w:tcPr>
          <w:p>
            <w:pPr>
              <w:jc w:val="center"/>
              <w:rPr>
                <w:rFonts w:ascii="宋体" w:hAnsi="宋体" w:cs="宋体"/>
                <w:color w:val="000000"/>
                <w:sz w:val="22"/>
              </w:rPr>
            </w:pPr>
            <w:r>
              <w:rPr>
                <w:rFonts w:hint="eastAsia" w:ascii="宋体" w:hAnsi="宋体" w:cs="宋体"/>
                <w:color w:val="000000"/>
                <w:sz w:val="22"/>
                <w:lang w:val="en-US" w:eastAsia="zh-CN"/>
              </w:rPr>
              <w:t>浙江省科技型中小企业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8" w:type="dxa"/>
            <w:vAlign w:val="center"/>
          </w:tcPr>
          <w:p>
            <w:pPr>
              <w:jc w:val="center"/>
              <w:rPr>
                <w:rFonts w:hint="eastAsia"/>
                <w:color w:val="000000"/>
              </w:rPr>
            </w:pPr>
            <w:r>
              <w:rPr>
                <w:rFonts w:hint="eastAsia"/>
                <w:color w:val="000000"/>
                <w:lang w:val="en-US" w:eastAsia="zh-CN"/>
              </w:rPr>
              <w:t>12</w:t>
            </w:r>
          </w:p>
        </w:tc>
        <w:tc>
          <w:tcPr>
            <w:tcW w:w="85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2021</w:t>
            </w:r>
          </w:p>
        </w:tc>
        <w:tc>
          <w:tcPr>
            <w:tcW w:w="310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义乌市人民政府</w:t>
            </w:r>
          </w:p>
        </w:tc>
        <w:tc>
          <w:tcPr>
            <w:tcW w:w="2551"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工业亩产效益综合评价A类企业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8" w:type="dxa"/>
            <w:vAlign w:val="center"/>
          </w:tcPr>
          <w:p>
            <w:pPr>
              <w:jc w:val="center"/>
              <w:rPr>
                <w:rFonts w:hint="eastAsia"/>
                <w:color w:val="000000"/>
              </w:rPr>
            </w:pPr>
            <w:r>
              <w:rPr>
                <w:rFonts w:hint="eastAsia"/>
                <w:color w:val="000000"/>
                <w:lang w:val="en-US" w:eastAsia="zh-CN"/>
              </w:rPr>
              <w:t>13</w:t>
            </w:r>
          </w:p>
        </w:tc>
        <w:tc>
          <w:tcPr>
            <w:tcW w:w="85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2022</w:t>
            </w:r>
          </w:p>
        </w:tc>
        <w:tc>
          <w:tcPr>
            <w:tcW w:w="310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义乌市人民政府</w:t>
            </w:r>
          </w:p>
        </w:tc>
        <w:tc>
          <w:tcPr>
            <w:tcW w:w="2551"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工业亩产效益综合评价A类企业</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688" w:type="dxa"/>
            <w:vAlign w:val="center"/>
          </w:tcPr>
          <w:p>
            <w:pPr>
              <w:jc w:val="center"/>
              <w:rPr>
                <w:rFonts w:hint="eastAsia"/>
                <w:color w:val="000000"/>
              </w:rPr>
            </w:pPr>
            <w:r>
              <w:rPr>
                <w:rFonts w:hint="eastAsia"/>
                <w:color w:val="000000"/>
                <w:lang w:val="en-US" w:eastAsia="zh-CN"/>
              </w:rPr>
              <w:t>14</w:t>
            </w:r>
          </w:p>
        </w:tc>
        <w:tc>
          <w:tcPr>
            <w:tcW w:w="85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2023</w:t>
            </w:r>
          </w:p>
        </w:tc>
        <w:tc>
          <w:tcPr>
            <w:tcW w:w="310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上海东方美谷化妆品技术研究中心</w:t>
            </w:r>
          </w:p>
        </w:tc>
        <w:tc>
          <w:tcPr>
            <w:tcW w:w="2551"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第二届会员单位</w:t>
            </w:r>
          </w:p>
        </w:tc>
        <w:tc>
          <w:tcPr>
            <w:tcW w:w="1143" w:type="dxa"/>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88" w:type="dxa"/>
            <w:vAlign w:val="center"/>
          </w:tcPr>
          <w:p>
            <w:pPr>
              <w:jc w:val="center"/>
              <w:rPr>
                <w:rFonts w:hint="eastAsia"/>
                <w:color w:val="000000"/>
              </w:rPr>
            </w:pPr>
            <w:r>
              <w:rPr>
                <w:rFonts w:hint="eastAsia"/>
                <w:color w:val="000000"/>
                <w:lang w:val="en-US" w:eastAsia="zh-CN"/>
              </w:rPr>
              <w:t>15</w:t>
            </w:r>
          </w:p>
        </w:tc>
        <w:tc>
          <w:tcPr>
            <w:tcW w:w="85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2023</w:t>
            </w:r>
          </w:p>
        </w:tc>
        <w:tc>
          <w:tcPr>
            <w:tcW w:w="3100"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中国计量大学现代科技学院</w:t>
            </w:r>
          </w:p>
        </w:tc>
        <w:tc>
          <w:tcPr>
            <w:tcW w:w="2551" w:type="dxa"/>
            <w:vAlign w:val="center"/>
          </w:tcPr>
          <w:p>
            <w:pPr>
              <w:jc w:val="center"/>
              <w:rPr>
                <w:rFonts w:hint="eastAsia" w:ascii="宋体" w:hAnsi="宋体" w:cs="宋体"/>
                <w:color w:val="000000"/>
                <w:sz w:val="22"/>
                <w:lang w:val="en-US" w:eastAsia="zh-CN"/>
              </w:rPr>
            </w:pPr>
            <w:r>
              <w:rPr>
                <w:rFonts w:hint="eastAsia" w:ascii="宋体" w:hAnsi="宋体" w:cs="宋体"/>
                <w:color w:val="000000"/>
                <w:sz w:val="22"/>
                <w:lang w:val="en-US" w:eastAsia="zh-CN"/>
              </w:rPr>
              <w:t>情系教育 爱心捐赠</w:t>
            </w:r>
          </w:p>
        </w:tc>
        <w:tc>
          <w:tcPr>
            <w:tcW w:w="1143" w:type="dxa"/>
            <w:vAlign w:val="center"/>
          </w:tcPr>
          <w:p>
            <w:pPr>
              <w:jc w:val="center"/>
              <w:rPr>
                <w:rFonts w:ascii="宋体" w:hAnsi="宋体" w:cs="宋体"/>
                <w:color w:val="000000"/>
                <w:sz w:val="22"/>
              </w:rPr>
            </w:pPr>
          </w:p>
        </w:tc>
      </w:tr>
    </w:tbl>
    <w:p>
      <w:pPr>
        <w:widowControl/>
        <w:jc w:val="left"/>
        <w:rPr>
          <w:rFonts w:ascii="宋体" w:cs="Helvetica"/>
          <w:b/>
          <w:bCs/>
          <w:color w:val="000000"/>
          <w:kern w:val="0"/>
          <w:sz w:val="24"/>
          <w:szCs w:val="24"/>
        </w:rPr>
      </w:pPr>
      <w:r>
        <w:drawing>
          <wp:anchor distT="0" distB="0" distL="114300" distR="114300" simplePos="0" relativeHeight="251659264" behindDoc="1" locked="0" layoutInCell="1" allowOverlap="1">
            <wp:simplePos x="0" y="0"/>
            <wp:positionH relativeFrom="column">
              <wp:posOffset>3665855</wp:posOffset>
            </wp:positionH>
            <wp:positionV relativeFrom="paragraph">
              <wp:posOffset>668655</wp:posOffset>
            </wp:positionV>
            <wp:extent cx="1441450" cy="1477645"/>
            <wp:effectExtent l="0" t="0" r="6350" b="8255"/>
            <wp:wrapThrough wrapText="bothSides">
              <wp:wrapPolygon>
                <wp:start x="7707" y="0"/>
                <wp:lineTo x="5995" y="278"/>
                <wp:lineTo x="1142" y="3620"/>
                <wp:lineTo x="0" y="7519"/>
                <wp:lineTo x="0" y="14202"/>
                <wp:lineTo x="1713" y="17822"/>
                <wp:lineTo x="1713" y="18379"/>
                <wp:lineTo x="6566" y="21442"/>
                <wp:lineTo x="7422" y="21442"/>
                <wp:lineTo x="13988" y="21442"/>
                <wp:lineTo x="14844" y="21442"/>
                <wp:lineTo x="19697" y="18379"/>
                <wp:lineTo x="19697" y="17822"/>
                <wp:lineTo x="21410" y="14202"/>
                <wp:lineTo x="21410" y="7519"/>
                <wp:lineTo x="20268" y="3899"/>
                <wp:lineTo x="15415" y="278"/>
                <wp:lineTo x="13702" y="0"/>
                <wp:lineTo x="7707" y="0"/>
              </wp:wrapPolygon>
            </wp:wrapThrough>
            <wp:docPr id="138507" name="图片 1" descr="47ebad09c74279295aec097e67e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7" name="图片 1" descr="47ebad09c74279295aec097e67e1376"/>
                    <pic:cNvPicPr>
                      <a:picLocks noChangeAspect="1"/>
                    </pic:cNvPicPr>
                  </pic:nvPicPr>
                  <pic:blipFill>
                    <a:blip r:embed="rId6"/>
                    <a:stretch>
                      <a:fillRect/>
                    </a:stretch>
                  </pic:blipFill>
                  <pic:spPr>
                    <a:xfrm>
                      <a:off x="0" y="0"/>
                      <a:ext cx="1441450" cy="1477645"/>
                    </a:xfrm>
                    <a:prstGeom prst="rect">
                      <a:avLst/>
                    </a:prstGeom>
                    <a:noFill/>
                    <a:ln w="9525">
                      <a:noFill/>
                    </a:ln>
                  </pic:spPr>
                </pic:pic>
              </a:graphicData>
            </a:graphic>
          </wp:anchor>
        </w:drawing>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Helvetica-Narrow">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mp;quot">
    <w:altName w:val="Cambria"/>
    <w:panose1 w:val="00000000000000000000"/>
    <w:charset w:val="00"/>
    <w:family w:val="roman"/>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B5F14"/>
    <w:multiLevelType w:val="multilevel"/>
    <w:tmpl w:val="559B5F14"/>
    <w:lvl w:ilvl="0" w:tentative="0">
      <w:start w:val="1"/>
      <w:numFmt w:val="decimal"/>
      <w:lvlText w:val="%1、"/>
      <w:lvlJc w:val="left"/>
      <w:pPr>
        <w:tabs>
          <w:tab w:val="left" w:pos="0"/>
        </w:tabs>
        <w:ind w:left="360" w:hanging="360"/>
      </w:pPr>
      <w:rPr>
        <w:rFonts w:hint="default" w:ascii="Calibri" w:hAnsi="Calibri" w:cs="Calibri"/>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xMjg3NjQ4MzkwYTY1ZTYyMjYwM2NjMmM1NTg3OWUifQ=="/>
  </w:docVars>
  <w:rsids>
    <w:rsidRoot w:val="00C64126"/>
    <w:rsid w:val="00026B6A"/>
    <w:rsid w:val="0003382D"/>
    <w:rsid w:val="0003666B"/>
    <w:rsid w:val="000667A9"/>
    <w:rsid w:val="0007107C"/>
    <w:rsid w:val="00072A52"/>
    <w:rsid w:val="00073F19"/>
    <w:rsid w:val="0008362D"/>
    <w:rsid w:val="000A6234"/>
    <w:rsid w:val="000D00A2"/>
    <w:rsid w:val="000D6877"/>
    <w:rsid w:val="000E6362"/>
    <w:rsid w:val="000F34DA"/>
    <w:rsid w:val="001115DC"/>
    <w:rsid w:val="00116537"/>
    <w:rsid w:val="00116975"/>
    <w:rsid w:val="00130DBA"/>
    <w:rsid w:val="00133C7E"/>
    <w:rsid w:val="001462DE"/>
    <w:rsid w:val="00146E35"/>
    <w:rsid w:val="0015365E"/>
    <w:rsid w:val="00173419"/>
    <w:rsid w:val="00195E5C"/>
    <w:rsid w:val="001A5F9D"/>
    <w:rsid w:val="001B2587"/>
    <w:rsid w:val="001C0A81"/>
    <w:rsid w:val="001D07FC"/>
    <w:rsid w:val="001D2C8F"/>
    <w:rsid w:val="00215BDE"/>
    <w:rsid w:val="00226776"/>
    <w:rsid w:val="00243AFE"/>
    <w:rsid w:val="002701BF"/>
    <w:rsid w:val="00270E58"/>
    <w:rsid w:val="00271AA7"/>
    <w:rsid w:val="002907AC"/>
    <w:rsid w:val="002A153D"/>
    <w:rsid w:val="002B1984"/>
    <w:rsid w:val="002B471A"/>
    <w:rsid w:val="002C0E2D"/>
    <w:rsid w:val="002C259E"/>
    <w:rsid w:val="002E2F93"/>
    <w:rsid w:val="00301043"/>
    <w:rsid w:val="003030AB"/>
    <w:rsid w:val="003078AF"/>
    <w:rsid w:val="00310E6B"/>
    <w:rsid w:val="0032149C"/>
    <w:rsid w:val="00334957"/>
    <w:rsid w:val="003510F9"/>
    <w:rsid w:val="00392966"/>
    <w:rsid w:val="003A68E2"/>
    <w:rsid w:val="003A7DD9"/>
    <w:rsid w:val="003D49EA"/>
    <w:rsid w:val="003D641E"/>
    <w:rsid w:val="00440F20"/>
    <w:rsid w:val="00455916"/>
    <w:rsid w:val="00460B9B"/>
    <w:rsid w:val="004654D7"/>
    <w:rsid w:val="004716BF"/>
    <w:rsid w:val="004904D5"/>
    <w:rsid w:val="004B7A1D"/>
    <w:rsid w:val="004C300D"/>
    <w:rsid w:val="004E0B70"/>
    <w:rsid w:val="004E0D5B"/>
    <w:rsid w:val="004E4388"/>
    <w:rsid w:val="004E538D"/>
    <w:rsid w:val="004F5809"/>
    <w:rsid w:val="004F671C"/>
    <w:rsid w:val="00501AFF"/>
    <w:rsid w:val="005110BB"/>
    <w:rsid w:val="005169DD"/>
    <w:rsid w:val="00530F67"/>
    <w:rsid w:val="005413B6"/>
    <w:rsid w:val="00543424"/>
    <w:rsid w:val="00573C64"/>
    <w:rsid w:val="005848E1"/>
    <w:rsid w:val="0058570B"/>
    <w:rsid w:val="005A2277"/>
    <w:rsid w:val="005B724B"/>
    <w:rsid w:val="005C1BA4"/>
    <w:rsid w:val="005C37F6"/>
    <w:rsid w:val="005D5E5B"/>
    <w:rsid w:val="005F1CF4"/>
    <w:rsid w:val="005F4207"/>
    <w:rsid w:val="005F70D5"/>
    <w:rsid w:val="00625108"/>
    <w:rsid w:val="00627553"/>
    <w:rsid w:val="00635F0C"/>
    <w:rsid w:val="00664017"/>
    <w:rsid w:val="00696536"/>
    <w:rsid w:val="006B025D"/>
    <w:rsid w:val="006B230B"/>
    <w:rsid w:val="006C3C56"/>
    <w:rsid w:val="006C6321"/>
    <w:rsid w:val="006D1982"/>
    <w:rsid w:val="006E45AE"/>
    <w:rsid w:val="007054F6"/>
    <w:rsid w:val="00727C06"/>
    <w:rsid w:val="007304D4"/>
    <w:rsid w:val="00741DB5"/>
    <w:rsid w:val="007571A8"/>
    <w:rsid w:val="007650FA"/>
    <w:rsid w:val="007915D7"/>
    <w:rsid w:val="007932F8"/>
    <w:rsid w:val="007A3BD4"/>
    <w:rsid w:val="007B1716"/>
    <w:rsid w:val="007C0BAF"/>
    <w:rsid w:val="007C4113"/>
    <w:rsid w:val="007C5F4B"/>
    <w:rsid w:val="007D5591"/>
    <w:rsid w:val="007E1E4B"/>
    <w:rsid w:val="007F58C2"/>
    <w:rsid w:val="00847180"/>
    <w:rsid w:val="008610DA"/>
    <w:rsid w:val="00876257"/>
    <w:rsid w:val="008766A8"/>
    <w:rsid w:val="0088716A"/>
    <w:rsid w:val="00891216"/>
    <w:rsid w:val="008931BC"/>
    <w:rsid w:val="008C7D4A"/>
    <w:rsid w:val="008D7E8C"/>
    <w:rsid w:val="009637A3"/>
    <w:rsid w:val="009750B2"/>
    <w:rsid w:val="00982ADA"/>
    <w:rsid w:val="009B6959"/>
    <w:rsid w:val="009C4A9E"/>
    <w:rsid w:val="009D2805"/>
    <w:rsid w:val="009F1E76"/>
    <w:rsid w:val="009F527A"/>
    <w:rsid w:val="00A052A5"/>
    <w:rsid w:val="00A172EF"/>
    <w:rsid w:val="00A27506"/>
    <w:rsid w:val="00A41714"/>
    <w:rsid w:val="00A42793"/>
    <w:rsid w:val="00A51434"/>
    <w:rsid w:val="00A52401"/>
    <w:rsid w:val="00A533B8"/>
    <w:rsid w:val="00A809A9"/>
    <w:rsid w:val="00A83942"/>
    <w:rsid w:val="00A903D5"/>
    <w:rsid w:val="00A909F5"/>
    <w:rsid w:val="00AA080C"/>
    <w:rsid w:val="00AD7E3D"/>
    <w:rsid w:val="00B0700D"/>
    <w:rsid w:val="00B45F8B"/>
    <w:rsid w:val="00B51F01"/>
    <w:rsid w:val="00B564BA"/>
    <w:rsid w:val="00B67FB2"/>
    <w:rsid w:val="00B75637"/>
    <w:rsid w:val="00B81DDE"/>
    <w:rsid w:val="00B82EBC"/>
    <w:rsid w:val="00B8446C"/>
    <w:rsid w:val="00B970FC"/>
    <w:rsid w:val="00BA2750"/>
    <w:rsid w:val="00BA2F39"/>
    <w:rsid w:val="00BC0460"/>
    <w:rsid w:val="00BD0119"/>
    <w:rsid w:val="00BD0D67"/>
    <w:rsid w:val="00BD31E3"/>
    <w:rsid w:val="00BE3E31"/>
    <w:rsid w:val="00BE617E"/>
    <w:rsid w:val="00BF3CCE"/>
    <w:rsid w:val="00C311F7"/>
    <w:rsid w:val="00C42C06"/>
    <w:rsid w:val="00C44CDE"/>
    <w:rsid w:val="00C577F9"/>
    <w:rsid w:val="00C64126"/>
    <w:rsid w:val="00C74EE2"/>
    <w:rsid w:val="00CB6AAD"/>
    <w:rsid w:val="00CD24CA"/>
    <w:rsid w:val="00CE76DC"/>
    <w:rsid w:val="00D304F9"/>
    <w:rsid w:val="00D404D8"/>
    <w:rsid w:val="00D420BA"/>
    <w:rsid w:val="00D446AB"/>
    <w:rsid w:val="00D52FB5"/>
    <w:rsid w:val="00D72CB3"/>
    <w:rsid w:val="00DA640D"/>
    <w:rsid w:val="00DD4EB3"/>
    <w:rsid w:val="00DD71CD"/>
    <w:rsid w:val="00DE7D5C"/>
    <w:rsid w:val="00E03AC4"/>
    <w:rsid w:val="00E17A2B"/>
    <w:rsid w:val="00E30051"/>
    <w:rsid w:val="00E40069"/>
    <w:rsid w:val="00E621ED"/>
    <w:rsid w:val="00E633A2"/>
    <w:rsid w:val="00E6363B"/>
    <w:rsid w:val="00E90029"/>
    <w:rsid w:val="00EE1817"/>
    <w:rsid w:val="00EE523F"/>
    <w:rsid w:val="00EF0D73"/>
    <w:rsid w:val="00EF19A0"/>
    <w:rsid w:val="00EF6790"/>
    <w:rsid w:val="00F126AC"/>
    <w:rsid w:val="00F30982"/>
    <w:rsid w:val="00F31566"/>
    <w:rsid w:val="00F63D25"/>
    <w:rsid w:val="00F8192F"/>
    <w:rsid w:val="00F844B7"/>
    <w:rsid w:val="00F947DE"/>
    <w:rsid w:val="00FA1BF9"/>
    <w:rsid w:val="00FA36E5"/>
    <w:rsid w:val="00FC088F"/>
    <w:rsid w:val="00FC2B7B"/>
    <w:rsid w:val="00FC2CB1"/>
    <w:rsid w:val="00FD0F1C"/>
    <w:rsid w:val="00FD1979"/>
    <w:rsid w:val="00FD2842"/>
    <w:rsid w:val="00FF0C73"/>
    <w:rsid w:val="00FF3260"/>
    <w:rsid w:val="01015F72"/>
    <w:rsid w:val="02AD1578"/>
    <w:rsid w:val="0A807556"/>
    <w:rsid w:val="21773022"/>
    <w:rsid w:val="2473614A"/>
    <w:rsid w:val="288F12B1"/>
    <w:rsid w:val="32E9298B"/>
    <w:rsid w:val="36167049"/>
    <w:rsid w:val="46D75EBB"/>
    <w:rsid w:val="4AE6130E"/>
    <w:rsid w:val="540C3435"/>
    <w:rsid w:val="6C875992"/>
    <w:rsid w:val="71EE2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libri Light" w:hAnsi="Calibri Light" w:cs="Times New Roman"/>
      <w:b/>
      <w:bCs/>
      <w:sz w:val="32"/>
      <w:szCs w:val="32"/>
    </w:rPr>
  </w:style>
  <w:style w:type="paragraph" w:styleId="6">
    <w:name w:val="heading 3"/>
    <w:basedOn w:val="1"/>
    <w:next w:val="1"/>
    <w:qFormat/>
    <w:uiPriority w:val="0"/>
    <w:pPr>
      <w:keepNext/>
      <w:keepLines/>
      <w:spacing w:before="60" w:after="60"/>
      <w:outlineLvl w:val="2"/>
    </w:pPr>
    <w:rPr>
      <w:rFonts w:cs="Times New Roman"/>
      <w:b/>
      <w:bCs/>
      <w:szCs w:val="32"/>
    </w:rPr>
  </w:style>
  <w:style w:type="paragraph" w:styleId="7">
    <w:name w:val="heading 4"/>
    <w:basedOn w:val="1"/>
    <w:next w:val="1"/>
    <w:uiPriority w:val="0"/>
    <w:pPr>
      <w:keepNext/>
      <w:keepLines/>
      <w:spacing w:before="60" w:after="60"/>
      <w:outlineLvl w:val="3"/>
    </w:pPr>
    <w:rPr>
      <w:rFonts w:ascii="Cambria" w:hAnsi="Cambria" w:cs="Times New Roman"/>
      <w:b/>
      <w:bCs/>
      <w:szCs w:val="28"/>
    </w:rPr>
  </w:style>
  <w:style w:type="paragraph" w:styleId="8">
    <w:name w:val="heading 5"/>
    <w:basedOn w:val="1"/>
    <w:next w:val="1"/>
    <w:qFormat/>
    <w:uiPriority w:val="0"/>
    <w:pPr>
      <w:keepNext/>
      <w:keepLines/>
      <w:spacing w:before="60" w:after="60"/>
      <w:outlineLvl w:val="4"/>
    </w:pPr>
    <w:rPr>
      <w:rFonts w:cs="Times New Roman"/>
      <w:b/>
      <w:bCs/>
      <w:szCs w:val="28"/>
    </w:rPr>
  </w:style>
  <w:style w:type="paragraph" w:styleId="9">
    <w:name w:val="heading 6"/>
    <w:basedOn w:val="1"/>
    <w:next w:val="1"/>
    <w:uiPriority w:val="0"/>
    <w:pPr>
      <w:keepNext/>
      <w:keepLines/>
      <w:widowControl/>
      <w:spacing w:before="60" w:after="60"/>
      <w:jc w:val="left"/>
      <w:outlineLvl w:val="5"/>
    </w:pPr>
    <w:rPr>
      <w:rFonts w:ascii="Calibri Light" w:hAnsi="Calibri Light" w:cs="Times New Roman"/>
      <w:b/>
      <w:bCs/>
      <w:kern w:val="0"/>
      <w:szCs w:val="24"/>
    </w:rPr>
  </w:style>
  <w:style w:type="paragraph" w:styleId="10">
    <w:name w:val="heading 7"/>
    <w:basedOn w:val="1"/>
    <w:next w:val="1"/>
    <w:qFormat/>
    <w:uiPriority w:val="0"/>
    <w:pPr>
      <w:keepNext/>
      <w:keepLines/>
      <w:widowControl/>
      <w:spacing w:before="240" w:after="64" w:line="319" w:lineRule="auto"/>
      <w:jc w:val="left"/>
      <w:outlineLvl w:val="6"/>
    </w:pPr>
    <w:rPr>
      <w:rFonts w:ascii="宋体" w:cs="宋体"/>
      <w:b/>
      <w:bCs/>
      <w:kern w:val="0"/>
      <w:sz w:val="24"/>
      <w:szCs w:val="24"/>
    </w:rPr>
  </w:style>
  <w:style w:type="character" w:default="1" w:styleId="40">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autoSpaceDE/>
      <w:autoSpaceDN/>
      <w:snapToGrid w:val="0"/>
      <w:spacing w:after="120" w:line="300" w:lineRule="auto"/>
      <w:ind w:left="420" w:leftChars="200" w:firstLine="420" w:firstLineChars="200"/>
      <w:jc w:val="left"/>
    </w:pPr>
    <w:rPr>
      <w:rFonts w:ascii="Tahoma" w:hAnsi="Tahoma"/>
      <w:sz w:val="32"/>
      <w:szCs w:val="21"/>
    </w:rPr>
  </w:style>
  <w:style w:type="paragraph" w:styleId="3">
    <w:name w:val="Body Text Indent"/>
    <w:basedOn w:val="1"/>
    <w:qFormat/>
    <w:uiPriority w:val="0"/>
    <w:pPr>
      <w:autoSpaceDE w:val="0"/>
      <w:autoSpaceDN w:val="0"/>
      <w:adjustRightInd w:val="0"/>
      <w:spacing w:line="504" w:lineRule="exact"/>
      <w:ind w:firstLine="480"/>
    </w:pPr>
    <w:rPr>
      <w:kern w:val="0"/>
      <w:szCs w:val="20"/>
    </w:rPr>
  </w:style>
  <w:style w:type="paragraph" w:styleId="11">
    <w:name w:val="toc 7"/>
    <w:basedOn w:val="1"/>
    <w:next w:val="1"/>
    <w:qFormat/>
    <w:uiPriority w:val="0"/>
    <w:pPr>
      <w:ind w:left="1200" w:leftChars="1200"/>
    </w:pPr>
  </w:style>
  <w:style w:type="paragraph" w:styleId="12">
    <w:name w:val="Note Heading"/>
    <w:basedOn w:val="1"/>
    <w:next w:val="1"/>
    <w:qFormat/>
    <w:uiPriority w:val="0"/>
    <w:pPr>
      <w:jc w:val="center"/>
    </w:pPr>
    <w:rPr>
      <w:rFonts w:ascii="Times New Roman" w:hAnsi="Times New Roman" w:cs="Times New Roman"/>
      <w:szCs w:val="21"/>
    </w:rPr>
  </w:style>
  <w:style w:type="paragraph" w:styleId="13">
    <w:name w:val="Normal Indent"/>
    <w:basedOn w:val="1"/>
    <w:qFormat/>
    <w:uiPriority w:val="0"/>
    <w:pPr>
      <w:ind w:firstLine="200" w:firstLineChars="200"/>
    </w:pPr>
    <w:rPr>
      <w:rFonts w:ascii="Times New Roman" w:hAnsi="Times New Roman" w:cs="Times New Roman"/>
      <w:szCs w:val="21"/>
    </w:rPr>
  </w:style>
  <w:style w:type="paragraph" w:styleId="14">
    <w:name w:val="caption"/>
    <w:basedOn w:val="1"/>
    <w:next w:val="1"/>
    <w:qFormat/>
    <w:uiPriority w:val="0"/>
    <w:rPr>
      <w:rFonts w:ascii="Calibri Light" w:hAnsi="Calibri Light" w:eastAsia="黑体" w:cs="Times New Roman"/>
      <w:sz w:val="20"/>
      <w:szCs w:val="20"/>
    </w:rPr>
  </w:style>
  <w:style w:type="paragraph" w:styleId="15">
    <w:name w:val="Document Map"/>
    <w:basedOn w:val="1"/>
    <w:qFormat/>
    <w:uiPriority w:val="0"/>
    <w:rPr>
      <w:rFonts w:ascii="宋体" w:cs="Times New Roman"/>
      <w:sz w:val="18"/>
      <w:szCs w:val="18"/>
    </w:rPr>
  </w:style>
  <w:style w:type="paragraph" w:styleId="16">
    <w:name w:val="toa heading"/>
    <w:basedOn w:val="1"/>
    <w:next w:val="1"/>
    <w:qFormat/>
    <w:uiPriority w:val="0"/>
    <w:pPr>
      <w:spacing w:before="120"/>
    </w:pPr>
    <w:rPr>
      <w:rFonts w:ascii="Arial" w:hAnsi="Arial" w:cs="Times New Roman"/>
      <w:b/>
      <w:bCs/>
      <w:szCs w:val="21"/>
    </w:rPr>
  </w:style>
  <w:style w:type="paragraph" w:styleId="17">
    <w:name w:val="annotation text"/>
    <w:basedOn w:val="1"/>
    <w:qFormat/>
    <w:uiPriority w:val="0"/>
    <w:pPr>
      <w:jc w:val="left"/>
    </w:pPr>
  </w:style>
  <w:style w:type="paragraph" w:styleId="18">
    <w:name w:val="Salutation"/>
    <w:basedOn w:val="1"/>
    <w:next w:val="1"/>
    <w:qFormat/>
    <w:uiPriority w:val="0"/>
    <w:rPr>
      <w:rFonts w:ascii="Times New Roman" w:hAnsi="Times New Roman" w:cs="Times New Roman"/>
      <w:szCs w:val="21"/>
    </w:rPr>
  </w:style>
  <w:style w:type="paragraph" w:styleId="19">
    <w:name w:val="List Bullet 3"/>
    <w:basedOn w:val="1"/>
    <w:qFormat/>
    <w:uiPriority w:val="0"/>
    <w:pPr>
      <w:tabs>
        <w:tab w:val="left" w:pos="1200"/>
      </w:tabs>
    </w:pPr>
    <w:rPr>
      <w:rFonts w:ascii="Times New Roman" w:hAnsi="Times New Roman" w:cs="Times New Roman"/>
      <w:szCs w:val="21"/>
    </w:rPr>
  </w:style>
  <w:style w:type="paragraph" w:styleId="20">
    <w:name w:val="Body Text"/>
    <w:basedOn w:val="1"/>
    <w:qFormat/>
    <w:uiPriority w:val="0"/>
    <w:pPr>
      <w:spacing w:after="120"/>
    </w:pPr>
    <w:rPr>
      <w:rFonts w:ascii="Times New Roman" w:hAnsi="Times New Roman" w:cs="Times New Roman"/>
      <w:szCs w:val="21"/>
    </w:rPr>
  </w:style>
  <w:style w:type="paragraph" w:styleId="21">
    <w:name w:val="toc 5"/>
    <w:basedOn w:val="1"/>
    <w:next w:val="1"/>
    <w:qFormat/>
    <w:uiPriority w:val="0"/>
    <w:pPr>
      <w:ind w:left="800" w:leftChars="800"/>
    </w:pPr>
  </w:style>
  <w:style w:type="paragraph" w:styleId="22">
    <w:name w:val="toc 3"/>
    <w:basedOn w:val="1"/>
    <w:next w:val="1"/>
    <w:qFormat/>
    <w:uiPriority w:val="0"/>
    <w:pPr>
      <w:widowControl/>
      <w:spacing w:after="100" w:line="276" w:lineRule="auto"/>
      <w:ind w:left="440"/>
      <w:jc w:val="left"/>
    </w:pPr>
    <w:rPr>
      <w:rFonts w:cs="Times New Roman"/>
      <w:kern w:val="0"/>
      <w:sz w:val="22"/>
    </w:rPr>
  </w:style>
  <w:style w:type="paragraph" w:styleId="23">
    <w:name w:val="Plain Text"/>
    <w:basedOn w:val="1"/>
    <w:link w:val="64"/>
    <w:qFormat/>
    <w:uiPriority w:val="0"/>
    <w:rPr>
      <w:rFonts w:ascii="宋体" w:cs="Times New Roman"/>
      <w:szCs w:val="20"/>
    </w:rPr>
  </w:style>
  <w:style w:type="paragraph" w:styleId="24">
    <w:name w:val="toc 8"/>
    <w:basedOn w:val="1"/>
    <w:next w:val="1"/>
    <w:qFormat/>
    <w:uiPriority w:val="0"/>
    <w:pPr>
      <w:ind w:left="1400" w:leftChars="1400"/>
    </w:pPr>
  </w:style>
  <w:style w:type="paragraph" w:styleId="25">
    <w:name w:val="Date"/>
    <w:basedOn w:val="1"/>
    <w:next w:val="1"/>
    <w:qFormat/>
    <w:uiPriority w:val="0"/>
    <w:pPr>
      <w:ind w:left="2500" w:leftChars="2500"/>
    </w:pPr>
    <w:rPr>
      <w:rFonts w:ascii="Times New Roman" w:hAnsi="Times New Roman" w:cs="Times New Roman"/>
      <w:szCs w:val="21"/>
    </w:rPr>
  </w:style>
  <w:style w:type="paragraph" w:styleId="26">
    <w:name w:val="endnote text"/>
    <w:basedOn w:val="1"/>
    <w:qFormat/>
    <w:uiPriority w:val="0"/>
    <w:pPr>
      <w:widowControl/>
      <w:snapToGrid w:val="0"/>
      <w:jc w:val="left"/>
    </w:pPr>
    <w:rPr>
      <w:rFonts w:ascii="宋体" w:cs="宋体"/>
      <w:kern w:val="0"/>
      <w:szCs w:val="24"/>
    </w:rPr>
  </w:style>
  <w:style w:type="paragraph" w:styleId="27">
    <w:name w:val="Balloon Text"/>
    <w:basedOn w:val="1"/>
    <w:qFormat/>
    <w:uiPriority w:val="0"/>
    <w:rPr>
      <w:sz w:val="18"/>
      <w:szCs w:val="18"/>
    </w:rPr>
  </w:style>
  <w:style w:type="paragraph" w:styleId="28">
    <w:name w:val="footer"/>
    <w:basedOn w:val="1"/>
    <w:qFormat/>
    <w:uiPriority w:val="0"/>
    <w:pPr>
      <w:tabs>
        <w:tab w:val="center" w:pos="4153"/>
        <w:tab w:val="right" w:pos="8306"/>
      </w:tabs>
      <w:snapToGrid w:val="0"/>
      <w:jc w:val="left"/>
    </w:pPr>
    <w:rPr>
      <w:sz w:val="18"/>
      <w:szCs w:val="18"/>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style>
  <w:style w:type="paragraph" w:styleId="31">
    <w:name w:val="toc 4"/>
    <w:basedOn w:val="1"/>
    <w:next w:val="1"/>
    <w:qFormat/>
    <w:uiPriority w:val="0"/>
    <w:pPr>
      <w:ind w:left="600" w:leftChars="600"/>
    </w:pPr>
  </w:style>
  <w:style w:type="paragraph" w:styleId="32">
    <w:name w:val="toc 6"/>
    <w:basedOn w:val="1"/>
    <w:next w:val="1"/>
    <w:qFormat/>
    <w:uiPriority w:val="0"/>
    <w:pPr>
      <w:ind w:left="1000" w:leftChars="10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Normal (Web)"/>
    <w:basedOn w:val="1"/>
    <w:qFormat/>
    <w:uiPriority w:val="0"/>
    <w:pPr>
      <w:widowControl/>
      <w:spacing w:before="100" w:beforeAutospacing="1" w:after="100" w:afterAutospacing="1"/>
      <w:jc w:val="left"/>
    </w:pPr>
    <w:rPr>
      <w:rFonts w:ascii="宋体" w:cs="宋体"/>
      <w:kern w:val="0"/>
      <w:sz w:val="24"/>
      <w:szCs w:val="24"/>
    </w:rPr>
  </w:style>
  <w:style w:type="paragraph" w:styleId="36">
    <w:name w:val="index 1"/>
    <w:basedOn w:val="1"/>
    <w:next w:val="1"/>
    <w:qFormat/>
    <w:uiPriority w:val="0"/>
    <w:pPr>
      <w:widowControl/>
      <w:ind w:firstLine="200" w:firstLineChars="200"/>
      <w:jc w:val="left"/>
    </w:pPr>
    <w:rPr>
      <w:rFonts w:ascii="宋体" w:cs="Times New Roman"/>
      <w:color w:val="000000"/>
      <w:kern w:val="0"/>
      <w:szCs w:val="21"/>
    </w:rPr>
  </w:style>
  <w:style w:type="paragraph" w:styleId="37">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38">
    <w:name w:val="annotation subject"/>
    <w:basedOn w:val="17"/>
    <w:next w:val="17"/>
    <w:qFormat/>
    <w:uiPriority w:val="0"/>
    <w:rPr>
      <w:b/>
      <w:bCs/>
    </w:rPr>
  </w:style>
  <w:style w:type="character" w:styleId="41">
    <w:name w:val="endnote reference"/>
    <w:basedOn w:val="40"/>
    <w:qFormat/>
    <w:uiPriority w:val="0"/>
    <w:rPr>
      <w:vertAlign w:val="superscript"/>
    </w:rPr>
  </w:style>
  <w:style w:type="character" w:styleId="42">
    <w:name w:val="Hyperlink"/>
    <w:basedOn w:val="40"/>
    <w:qFormat/>
    <w:uiPriority w:val="0"/>
    <w:rPr>
      <w:color w:val="0563C1"/>
      <w:u w:val="single"/>
    </w:rPr>
  </w:style>
  <w:style w:type="character" w:styleId="43">
    <w:name w:val="annotation reference"/>
    <w:basedOn w:val="40"/>
    <w:qFormat/>
    <w:uiPriority w:val="0"/>
    <w:rPr>
      <w:sz w:val="21"/>
      <w:szCs w:val="21"/>
    </w:rPr>
  </w:style>
  <w:style w:type="paragraph" w:customStyle="1" w:styleId="44">
    <w:name w:val="aSTL正文"/>
    <w:basedOn w:val="1"/>
    <w:qFormat/>
    <w:uiPriority w:val="0"/>
    <w:pPr>
      <w:spacing w:line="300" w:lineRule="auto"/>
      <w:ind w:firstLine="200" w:firstLineChars="200"/>
    </w:pPr>
    <w:rPr>
      <w:rFonts w:cs="Times New Roman"/>
      <w:kern w:val="0"/>
      <w:sz w:val="24"/>
      <w:szCs w:val="20"/>
      <w:lang w:val="zh-CN"/>
    </w:rPr>
  </w:style>
  <w:style w:type="paragraph" w:customStyle="1" w:styleId="45">
    <w:name w:val="4.1.1.1.1"/>
    <w:basedOn w:val="1"/>
    <w:qFormat/>
    <w:uiPriority w:val="0"/>
    <w:pPr>
      <w:tabs>
        <w:tab w:val="left" w:pos="142"/>
      </w:tabs>
      <w:spacing w:beforeLines="50" w:afterLines="50"/>
      <w:ind w:left="200" w:leftChars="200"/>
      <w:jc w:val="left"/>
      <w:outlineLvl w:val="3"/>
    </w:pPr>
    <w:rPr>
      <w:rFonts w:ascii="宋体" w:cs="Times New Roman"/>
      <w:b/>
      <w:color w:val="000000"/>
      <w:kern w:val="0"/>
      <w:sz w:val="24"/>
      <w:szCs w:val="24"/>
      <w:lang w:val="zh-CN"/>
    </w:rPr>
  </w:style>
  <w:style w:type="paragraph" w:customStyle="1" w:styleId="46">
    <w:name w:val="列出段落1"/>
    <w:basedOn w:val="1"/>
    <w:qFormat/>
    <w:uiPriority w:val="0"/>
    <w:pPr>
      <w:ind w:firstLine="200" w:firstLineChars="200"/>
    </w:pPr>
    <w:rPr>
      <w:rFonts w:cs="Times New Roman"/>
    </w:rPr>
  </w:style>
  <w:style w:type="paragraph" w:customStyle="1" w:styleId="47">
    <w:name w:val="TOC 标题1"/>
    <w:basedOn w:val="4"/>
    <w:next w:val="1"/>
    <w:uiPriority w:val="0"/>
    <w:pPr>
      <w:widowControl/>
      <w:spacing w:before="240" w:after="0" w:line="259" w:lineRule="auto"/>
      <w:jc w:val="left"/>
      <w:outlineLvl w:val="9"/>
    </w:pPr>
    <w:rPr>
      <w:rFonts w:ascii="Calibri Light" w:hAnsi="Calibri Light" w:cs="Times New Roman"/>
      <w:b w:val="0"/>
      <w:bCs w:val="0"/>
      <w:color w:val="2E74B5"/>
      <w:kern w:val="0"/>
      <w:sz w:val="32"/>
      <w:szCs w:val="32"/>
    </w:rPr>
  </w:style>
  <w:style w:type="character" w:customStyle="1" w:styleId="48">
    <w:name w:val="notnullcss1"/>
    <w:basedOn w:val="40"/>
    <w:uiPriority w:val="0"/>
    <w:rPr>
      <w:rFonts w:eastAsia="宋体" w:cs="Times New Roman"/>
      <w:color w:val="FF0000"/>
      <w:kern w:val="2"/>
      <w:sz w:val="24"/>
      <w:szCs w:val="24"/>
      <w:lang w:val="en-US" w:eastAsia="zh-CN" w:bidi="ar-SA"/>
    </w:rPr>
  </w:style>
  <w:style w:type="paragraph" w:customStyle="1" w:styleId="49">
    <w:name w:val="xl61"/>
    <w:basedOn w:val="1"/>
    <w:uiPriority w:val="0"/>
    <w:pPr>
      <w:widowControl/>
      <w:spacing w:before="100" w:after="100"/>
      <w:jc w:val="right"/>
    </w:pPr>
    <w:rPr>
      <w:rFonts w:ascii="Arial Unicode MS" w:hAnsi="Arial Unicode MS" w:eastAsia="Arial Unicode MS" w:cs="Times New Roman"/>
      <w:kern w:val="0"/>
      <w:sz w:val="18"/>
      <w:szCs w:val="18"/>
    </w:rPr>
  </w:style>
  <w:style w:type="character" w:customStyle="1" w:styleId="50">
    <w:name w:val="headline-content2"/>
    <w:basedOn w:val="40"/>
    <w:uiPriority w:val="0"/>
    <w:rPr>
      <w:rFonts w:eastAsia="宋体" w:cs="Times New Roman"/>
      <w:kern w:val="2"/>
      <w:sz w:val="24"/>
      <w:szCs w:val="24"/>
      <w:lang w:val="en-US" w:eastAsia="zh-CN" w:bidi="ar-SA"/>
    </w:rPr>
  </w:style>
  <w:style w:type="paragraph" w:customStyle="1" w:styleId="51">
    <w:name w:val="write2"/>
    <w:basedOn w:val="1"/>
    <w:qFormat/>
    <w:uiPriority w:val="0"/>
    <w:pPr>
      <w:widowControl/>
      <w:tabs>
        <w:tab w:val="left" w:pos="709"/>
      </w:tabs>
      <w:overflowPunct w:val="0"/>
      <w:autoSpaceDE w:val="0"/>
      <w:autoSpaceDN w:val="0"/>
      <w:adjustRightInd w:val="0"/>
      <w:textAlignment w:val="baseline"/>
    </w:pPr>
    <w:rPr>
      <w:rFonts w:ascii="Helvetica-Narrow" w:hAnsi="Helvetica-Narrow" w:cs="Times New Roman"/>
      <w:kern w:val="0"/>
      <w:szCs w:val="24"/>
      <w:lang w:val="en-AU"/>
    </w:rPr>
  </w:style>
  <w:style w:type="paragraph" w:customStyle="1" w:styleId="52">
    <w:name w:val="标题5"/>
    <w:basedOn w:val="1"/>
    <w:uiPriority w:val="0"/>
    <w:pPr>
      <w:keepNext/>
      <w:keepLines/>
      <w:spacing w:before="60" w:after="60"/>
      <w:ind w:left="200" w:hanging="200" w:hangingChars="200"/>
      <w:outlineLvl w:val="4"/>
    </w:pPr>
    <w:rPr>
      <w:rFonts w:ascii="宋体" w:cs="Times New Roman"/>
      <w:b/>
      <w:bCs/>
      <w:szCs w:val="21"/>
    </w:rPr>
  </w:style>
  <w:style w:type="paragraph" w:customStyle="1" w:styleId="53">
    <w:name w:val="修订1"/>
    <w:uiPriority w:val="0"/>
    <w:rPr>
      <w:rFonts w:ascii="Calibri" w:hAnsi="Calibri" w:eastAsia="宋体" w:cs="Times New Roman"/>
      <w:kern w:val="2"/>
      <w:sz w:val="21"/>
      <w:szCs w:val="22"/>
      <w:lang w:val="en-US" w:eastAsia="zh-CN" w:bidi="ar-SA"/>
    </w:rPr>
  </w:style>
  <w:style w:type="paragraph" w:customStyle="1" w:styleId="54">
    <w:name w:val="正文的样式"/>
    <w:basedOn w:val="1"/>
    <w:uiPriority w:val="0"/>
    <w:pPr>
      <w:spacing w:before="100" w:after="100"/>
    </w:pPr>
    <w:rPr>
      <w:szCs w:val="24"/>
    </w:rPr>
  </w:style>
  <w:style w:type="character" w:customStyle="1" w:styleId="55">
    <w:name w:val="占位符文本1"/>
    <w:basedOn w:val="40"/>
    <w:qFormat/>
    <w:uiPriority w:val="0"/>
    <w:rPr>
      <w:color w:val="auto"/>
    </w:rPr>
  </w:style>
  <w:style w:type="paragraph" w:customStyle="1" w:styleId="56">
    <w:name w:val="无间隔1"/>
    <w:uiPriority w:val="0"/>
    <w:pPr>
      <w:widowControl w:val="0"/>
      <w:jc w:val="both"/>
    </w:pPr>
    <w:rPr>
      <w:rFonts w:ascii="Calibri" w:hAnsi="Calibri" w:eastAsia="宋体" w:cs="Times New Roman"/>
      <w:kern w:val="2"/>
      <w:sz w:val="21"/>
      <w:szCs w:val="22"/>
      <w:lang w:val="en-US" w:eastAsia="zh-CN" w:bidi="ar-SA"/>
    </w:rPr>
  </w:style>
  <w:style w:type="character" w:customStyle="1" w:styleId="57">
    <w:name w:val="批注主题 Char1"/>
    <w:qFormat/>
    <w:uiPriority w:val="0"/>
    <w:rPr>
      <w:rFonts w:ascii="Times New Roman" w:hAnsi="Times New Roman" w:eastAsia="宋体" w:cs="Times New Roman"/>
      <w:b/>
      <w:bCs/>
      <w:szCs w:val="21"/>
    </w:rPr>
  </w:style>
  <w:style w:type="character" w:customStyle="1" w:styleId="58">
    <w:name w:val="span_"/>
    <w:basedOn w:val="40"/>
    <w:uiPriority w:val="0"/>
  </w:style>
  <w:style w:type="paragraph" w:customStyle="1" w:styleId="59">
    <w:name w:val="标题  3"/>
    <w:basedOn w:val="1"/>
    <w:next w:val="1"/>
    <w:uiPriority w:val="0"/>
    <w:pPr>
      <w:keepNext/>
      <w:keepLines/>
      <w:spacing w:before="100" w:beforeAutospacing="1" w:after="100" w:afterAutospacing="1" w:line="415" w:lineRule="auto"/>
    </w:pPr>
    <w:rPr>
      <w:rFonts w:ascii="Times New Roman" w:hAnsi="Times New Roman" w:cs="Times New Roman"/>
      <w:b/>
      <w:szCs w:val="24"/>
    </w:rPr>
  </w:style>
  <w:style w:type="paragraph" w:customStyle="1" w:styleId="60">
    <w:name w:val="列出段落11"/>
    <w:basedOn w:val="1"/>
    <w:uiPriority w:val="0"/>
    <w:pPr>
      <w:ind w:firstLine="200" w:firstLineChars="200"/>
    </w:pPr>
    <w:rPr>
      <w:rFonts w:cs="Calibri"/>
      <w:szCs w:val="21"/>
    </w:rPr>
  </w:style>
  <w:style w:type="paragraph" w:customStyle="1" w:styleId="61">
    <w:name w:val="报告正文格式1"/>
    <w:basedOn w:val="1"/>
    <w:uiPriority w:val="0"/>
    <w:pPr>
      <w:spacing w:line="360" w:lineRule="auto"/>
      <w:ind w:firstLine="200" w:firstLineChars="200"/>
      <w:jc w:val="left"/>
    </w:pPr>
    <w:rPr>
      <w:rFonts w:ascii="Times New Roman" w:hAnsi="Times New Roman" w:eastAsia="仿宋" w:cs="Times New Roman"/>
      <w:bCs/>
      <w:sz w:val="24"/>
      <w:szCs w:val="24"/>
    </w:rPr>
  </w:style>
  <w:style w:type="paragraph" w:customStyle="1" w:styleId="6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63">
    <w:name w:val="标题三"/>
    <w:basedOn w:val="1"/>
    <w:uiPriority w:val="0"/>
    <w:pPr>
      <w:spacing w:line="360" w:lineRule="auto"/>
      <w:jc w:val="left"/>
      <w:outlineLvl w:val="2"/>
    </w:pPr>
    <w:rPr>
      <w:rFonts w:ascii="Times New Roman" w:hAnsi="Times New Roman" w:cs="Times New Roman"/>
      <w:b/>
      <w:sz w:val="24"/>
      <w:szCs w:val="24"/>
    </w:rPr>
  </w:style>
  <w:style w:type="character" w:customStyle="1" w:styleId="64">
    <w:name w:val="纯文本 Char"/>
    <w:link w:val="23"/>
    <w:qFormat/>
    <w:uiPriority w:val="0"/>
    <w:rPr>
      <w:rFonts w:ascii="宋体" w:hAnsi="Calibri"/>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5B0E-BE7A-4B3E-B44F-7E47D5FF1A9F}">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7249</Words>
  <Characters>7418</Characters>
  <Lines>54</Lines>
  <Paragraphs>15</Paragraphs>
  <TotalTime>1</TotalTime>
  <ScaleCrop>false</ScaleCrop>
  <LinksUpToDate>false</LinksUpToDate>
  <CharactersWithSpaces>7494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2020-04-17T01:17:00Z</dcterms:created>
  <dc:creator>Meng Tang</dc:creator>
  <cp:lastModifiedBy>Anko Ryan（马泽苍）</cp:lastModifiedBy>
  <dcterms:modified xsi:type="dcterms:W3CDTF">2023-12-04T07:27:21Z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53A1D3B042F7475C9AAF8531DBA29A93</vt:lpwstr>
  </property>
</Properties>
</file>